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ZBS1, ZBS7,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(nur mittwochs)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/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rPr>
                <w:lang w:val="en-US"/>
              </w:rPr>
            </w:pP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Sprachliche Anpassungen (E-Mail LZ)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Impfkommunikation: Appellieren an eigenen Schutz, Schutz von Familienangehörigen und Freunden und </w:t>
            </w:r>
            <w:r>
              <w:lastRenderedPageBreak/>
              <w:t xml:space="preserve">erst an dritter Stelle altruistische Argumentation? Welcher Ansatz ist der beste?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Alle</w:t>
            </w:r>
          </w:p>
          <w:p>
            <w:r>
              <w:t>FG 36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Kontaktpersonenmanagement – internationale Kontaktpersonenmanagement – ggf. Änderung am 15.7.2021 (in Abstimmung mit BMG)</w:t>
            </w: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 xml:space="preserve">FG 38 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16.07.2021,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       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1BE"/>
    <w:multiLevelType w:val="hybridMultilevel"/>
    <w:tmpl w:val="0F66324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65864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31</cp:revision>
  <cp:lastPrinted>2020-03-13T12:00:00Z</cp:lastPrinted>
  <dcterms:created xsi:type="dcterms:W3CDTF">2021-06-28T12:52:00Z</dcterms:created>
  <dcterms:modified xsi:type="dcterms:W3CDTF">2022-12-22T13:29:00Z</dcterms:modified>
</cp:coreProperties>
</file>