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01.09.2021: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676"/>
        <w:gridCol w:w="1541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393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393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393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ab/>
            </w:r>
          </w:p>
        </w:tc>
        <w:tc>
          <w:tcPr>
            <w:tcW w:w="1393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393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Inzidenzen - getrennt </w:t>
            </w:r>
            <w:proofErr w:type="gramStart"/>
            <w:r>
              <w:t>nach geimpft</w:t>
            </w:r>
            <w:proofErr w:type="gramEnd"/>
            <w:r>
              <w:t xml:space="preserve"> und ungeimpft?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Maßnahmen für Geimpfte?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Da 2 G deutlich wirksamer ist als 3 G: wird das Einfluss auf unsere Empfehlungen geben?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ind w:left="360"/>
            </w:pPr>
          </w:p>
        </w:tc>
        <w:tc>
          <w:tcPr>
            <w:tcW w:w="1393" w:type="dxa"/>
          </w:tcPr>
          <w:p>
            <w:r>
              <w:lastRenderedPageBreak/>
              <w:t>Alle</w:t>
            </w:r>
          </w:p>
          <w:p/>
          <w:p>
            <w:r>
              <w:t>FG33</w:t>
            </w:r>
          </w:p>
          <w:p>
            <w:r>
              <w:t>FG36</w:t>
            </w:r>
          </w:p>
          <w:p>
            <w:proofErr w:type="spellStart"/>
            <w:r>
              <w:t>Präs</w:t>
            </w:r>
            <w:proofErr w:type="spellEnd"/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95B3D7" w:themeColor="accent1" w:themeTint="99"/>
                <w:sz w:val="20"/>
              </w:rPr>
            </w:pPr>
            <w:r>
              <w:rPr>
                <w:b/>
              </w:rPr>
              <w:t xml:space="preserve">Dokumente 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Kontaktpersonenmanagement: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>Umgang mit Kindern (</w:t>
            </w:r>
            <w:proofErr w:type="spellStart"/>
            <w:r>
              <w:t>Kona</w:t>
            </w:r>
            <w:proofErr w:type="spellEnd"/>
            <w:r>
              <w:t>, Schulen, s.u.)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 xml:space="preserve">Modellierungen zur Wirksamkeit der 5 Tages Kurzquarantäne für Schüler die </w:t>
            </w:r>
            <w:proofErr w:type="spellStart"/>
            <w:r>
              <w:t>Drosten</w:t>
            </w:r>
            <w:proofErr w:type="spellEnd"/>
            <w:r>
              <w:t xml:space="preserve"> ja schon letztes Jahr forderte, hat sich unsere Einstellung dazu geändert?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 xml:space="preserve">Was ist unsere Position zu Einschleppung von Infektionen durch Kinder in die Familie? Sehen wir das als sehr relevant an? 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>Wäre eine Option den Umgang mit infizierten Kindern abhängig zu machen vom Impfstatus der Adulten Mitbewohner der Kinder?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>Grundsätzliche Anpassungen im KoNa-Papier</w:t>
            </w:r>
          </w:p>
          <w:p>
            <w:pPr>
              <w:pStyle w:val="Listenabsatz"/>
              <w:numPr>
                <w:ilvl w:val="1"/>
                <w:numId w:val="5"/>
              </w:numPr>
            </w:pPr>
          </w:p>
        </w:tc>
        <w:tc>
          <w:tcPr>
            <w:tcW w:w="1393" w:type="dxa"/>
          </w:tcPr>
          <w:p>
            <w:r>
              <w:t>Alle</w:t>
            </w:r>
          </w:p>
          <w:p/>
          <w:p>
            <w:r>
              <w:t>FG 36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393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393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393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393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393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03.09.2021,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393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E3ACC5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4E381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D5EE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534F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12</cp:revision>
  <cp:lastPrinted>2020-03-13T12:00:00Z</cp:lastPrinted>
  <dcterms:created xsi:type="dcterms:W3CDTF">2021-08-30T11:54:00Z</dcterms:created>
  <dcterms:modified xsi:type="dcterms:W3CDTF">2022-12-22T13:35:00Z</dcterms:modified>
</cp:coreProperties>
</file>