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r>
              <w:t>-entfällt diese Woche-</w:t>
            </w: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Anteil Impfdurchbrüche fast 50% - Kommunikation?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Nowcasting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lastRenderedPageBreak/>
              <w:t>Entlassmanagement</w:t>
            </w:r>
            <w:proofErr w:type="spellEnd"/>
            <w:r>
              <w:t>-Freitestung für Geimpfte? Diskrepanz RKI und BZgA-Seite (14 versus 10 Tage)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Umgang mit Evaluation der COVID-19-Risikokommunikation durch ZIG 2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 xml:space="preserve">Math. </w:t>
            </w:r>
            <w:proofErr w:type="spellStart"/>
            <w:r>
              <w:t>a.d.H</w:t>
            </w:r>
            <w:proofErr w:type="spellEnd"/>
          </w:p>
          <w:p>
            <w:r>
              <w:t>AL1/ ZBS7</w:t>
            </w:r>
          </w:p>
          <w:p/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Offene Schichten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06.10.2021,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18</cp:revision>
  <cp:lastPrinted>2020-03-13T12:00:00Z</cp:lastPrinted>
  <dcterms:created xsi:type="dcterms:W3CDTF">2021-09-29T06:59:00Z</dcterms:created>
  <dcterms:modified xsi:type="dcterms:W3CDTF">2022-12-22T13:38:00Z</dcterms:modified>
</cp:coreProperties>
</file>