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Scala OT" w:hAnsi="Scala OT"/>
        </w:rPr>
      </w:pPr>
      <w:r>
        <w:rPr>
          <w:rFonts w:ascii="Scala OT" w:hAnsi="Scala OT"/>
        </w:rPr>
        <w:t>L/L1 Mehlitz/Hanke</w:t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</w:r>
      <w:r>
        <w:rPr>
          <w:rFonts w:ascii="Scala OT" w:hAnsi="Scala OT"/>
        </w:rPr>
        <w:tab/>
        <w:t xml:space="preserve">      Stand: 21.10.2021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</w:rPr>
      </w:pPr>
    </w:p>
    <w:p>
      <w:pPr>
        <w:rPr>
          <w:rFonts w:ascii="Scala OT" w:hAnsi="Scala OT"/>
          <w:b/>
        </w:rPr>
      </w:pPr>
      <w:r>
        <w:rPr>
          <w:rFonts w:ascii="Scala OT" w:hAnsi="Scala OT"/>
          <w:b/>
        </w:rPr>
        <w:t>Übersicht über die relevanten Änderungen nach Aufhebung der Feststellung einer epidemischen Lage von nationaler Tragweite; besonders relevante Änderungen, insb. für das RKI, sind rot hervorgehoben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</w:rPr>
      </w:pP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A. Rechtsverordnungen/Allgemeinverfügungen</w:t>
      </w: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I. Außerkrafttreten unmittelbar mit Aufhebung der Feststellung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Verordnung zur Abweichung von der Approbationsordnung für Ärzte bei einer epidemischen Lage von nationaler Tragweite (</w:t>
      </w:r>
      <w:proofErr w:type="spellStart"/>
      <w:r>
        <w:rPr>
          <w:rFonts w:ascii="Scala OT" w:hAnsi="Scala OT"/>
        </w:rPr>
        <w:t>ÄApprOAbwV</w:t>
      </w:r>
      <w:proofErr w:type="spellEnd"/>
      <w:r>
        <w:rPr>
          <w:rFonts w:ascii="Scala OT" w:hAnsi="Scala OT"/>
        </w:rPr>
        <w:t>); mit Ausnahme der Übergangsregelung in § 13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Verordnung zur Abweichung von der Approbationsordnung für Apotheker bei einer epidemischen Lage von nationaler Tragweite (</w:t>
      </w:r>
      <w:proofErr w:type="spellStart"/>
      <w:r>
        <w:rPr>
          <w:rFonts w:ascii="Scala OT" w:hAnsi="Scala OT"/>
        </w:rPr>
        <w:t>EpiPrOAbwV</w:t>
      </w:r>
      <w:proofErr w:type="spellEnd"/>
      <w:r>
        <w:rPr>
          <w:rFonts w:ascii="Scala OT" w:hAnsi="Scala OT"/>
        </w:rPr>
        <w:t>); mit Ausnahme der Übergangsregelung in § 6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Verordnung zur Abweichung von der Approbationsordnung für Zahnärzte bei einer epidemischen Lage von nationaler Tragweite (</w:t>
      </w:r>
      <w:proofErr w:type="spellStart"/>
      <w:r>
        <w:rPr>
          <w:rFonts w:ascii="Scala OT" w:hAnsi="Scala OT"/>
        </w:rPr>
        <w:t>EpiZÄPrOAbwV</w:t>
      </w:r>
      <w:proofErr w:type="spellEnd"/>
      <w:r>
        <w:rPr>
          <w:rFonts w:ascii="Scala OT" w:hAnsi="Scala OT"/>
        </w:rPr>
        <w:t>); mit Ausnahme der Übergangsregelung in § 8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 xml:space="preserve">– Verordnung zur Aussetzung der gesetzlichen Pflicht zur Erhebung, Übermittlung und Veröffentlichung von </w:t>
      </w:r>
      <w:proofErr w:type="spellStart"/>
      <w:r>
        <w:rPr>
          <w:rFonts w:ascii="Scala OT" w:hAnsi="Scala OT"/>
        </w:rPr>
        <w:t>indikatorenbezogenen</w:t>
      </w:r>
      <w:proofErr w:type="spellEnd"/>
      <w:r>
        <w:rPr>
          <w:rFonts w:ascii="Scala OT" w:hAnsi="Scala OT"/>
        </w:rPr>
        <w:t xml:space="preserve"> Daten in vollstationären Pflegeeinrichtungen (</w:t>
      </w:r>
      <w:proofErr w:type="spellStart"/>
      <w:r>
        <w:rPr>
          <w:rFonts w:ascii="Scala OT" w:hAnsi="Scala OT"/>
        </w:rPr>
        <w:t>PfleDatEAV</w:t>
      </w:r>
      <w:proofErr w:type="spellEnd"/>
      <w:r>
        <w:rPr>
          <w:rFonts w:ascii="Scala OT" w:hAnsi="Scala OT"/>
        </w:rPr>
        <w:t>)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II. Außerkrafttreten (spätestens) ein Jahr nach Aufhebung der Feststellung (ggf. früherer Zeitpunkt); mit Möglichkeit von (nachträglichen) Änderungen in diesem Zeitraum</w:t>
      </w:r>
    </w:p>
    <w:p>
      <w:pPr>
        <w:rPr>
          <w:rFonts w:ascii="Scala OT" w:hAnsi="Scala OT"/>
        </w:rPr>
      </w:pPr>
      <w:r>
        <w:rPr>
          <w:rFonts w:ascii="Scala OT" w:hAnsi="Scala OT"/>
          <w:highlight w:val="red"/>
        </w:rPr>
        <w:t>– DIVI IntensivRegister-Verordnung (</w:t>
      </w:r>
      <w:proofErr w:type="spellStart"/>
      <w:r>
        <w:rPr>
          <w:rFonts w:ascii="Scala OT" w:hAnsi="Scala OT"/>
          <w:highlight w:val="red"/>
        </w:rPr>
        <w:t>DIVIRegV</w:t>
      </w:r>
      <w:proofErr w:type="spellEnd"/>
      <w:r>
        <w:rPr>
          <w:rFonts w:ascii="Scala OT" w:hAnsi="Scala OT"/>
          <w:highlight w:val="red"/>
        </w:rPr>
        <w:t>)</w:t>
      </w:r>
    </w:p>
    <w:p>
      <w:pPr>
        <w:rPr>
          <w:rFonts w:ascii="Scala OT" w:hAnsi="Scala OT"/>
          <w:highlight w:val="red"/>
        </w:rPr>
      </w:pPr>
      <w:r>
        <w:rPr>
          <w:rFonts w:ascii="Scala OT" w:hAnsi="Scala OT"/>
          <w:highlight w:val="red"/>
        </w:rPr>
        <w:t xml:space="preserve">– Zweite Verordnung zur Änderung der Medizinprodukte-Abgabeverordnung (2. </w:t>
      </w:r>
      <w:proofErr w:type="spellStart"/>
      <w:r>
        <w:rPr>
          <w:rFonts w:ascii="Scala OT" w:hAnsi="Scala OT"/>
          <w:highlight w:val="red"/>
        </w:rPr>
        <w:t>MPAVÄndV</w:t>
      </w:r>
      <w:proofErr w:type="spellEnd"/>
      <w:r>
        <w:rPr>
          <w:rFonts w:ascii="Scala OT" w:hAnsi="Scala OT"/>
          <w:highlight w:val="red"/>
        </w:rPr>
        <w:t xml:space="preserve">); betrifft Ausnahme von Abgabebeschränkungen von </w:t>
      </w:r>
      <w:proofErr w:type="spellStart"/>
      <w:r>
        <w:rPr>
          <w:rFonts w:ascii="Scala OT" w:hAnsi="Scala OT"/>
          <w:highlight w:val="red"/>
        </w:rPr>
        <w:t>IvD</w:t>
      </w:r>
      <w:proofErr w:type="spellEnd"/>
      <w:r>
        <w:rPr>
          <w:rFonts w:ascii="Scala OT" w:hAnsi="Scala OT"/>
          <w:highlight w:val="red"/>
        </w:rPr>
        <w:t xml:space="preserve"> für SARS-CoV-2, danach wieder Zulassung befristeter Ausnahmen durch RKI</w:t>
      </w:r>
    </w:p>
    <w:p>
      <w:pPr>
        <w:rPr>
          <w:rFonts w:ascii="Scala OT" w:hAnsi="Scala OT"/>
          <w:highlight w:val="red"/>
        </w:rPr>
      </w:pPr>
      <w:r>
        <w:rPr>
          <w:rFonts w:ascii="Scala OT" w:hAnsi="Scala OT"/>
          <w:highlight w:val="red"/>
        </w:rPr>
        <w:t>– Coronavirus-Einreiseverordnung (</w:t>
      </w:r>
      <w:proofErr w:type="spellStart"/>
      <w:r>
        <w:rPr>
          <w:rFonts w:ascii="Scala OT" w:hAnsi="Scala OT"/>
          <w:highlight w:val="red"/>
        </w:rPr>
        <w:t>CoronaEinreiseV</w:t>
      </w:r>
      <w:proofErr w:type="spellEnd"/>
      <w:r>
        <w:rPr>
          <w:rFonts w:ascii="Scala OT" w:hAnsi="Scala OT"/>
          <w:highlight w:val="red"/>
        </w:rPr>
        <w:t>)</w:t>
      </w:r>
    </w:p>
    <w:p>
      <w:pPr>
        <w:rPr>
          <w:rFonts w:ascii="Scala OT" w:hAnsi="Scala OT"/>
        </w:rPr>
      </w:pPr>
      <w:r>
        <w:rPr>
          <w:rFonts w:ascii="Scala OT" w:hAnsi="Scala OT"/>
          <w:highlight w:val="red"/>
        </w:rPr>
        <w:t>– Coronavirus-Impfverordnung (</w:t>
      </w:r>
      <w:proofErr w:type="spellStart"/>
      <w:r>
        <w:rPr>
          <w:rFonts w:ascii="Scala OT" w:hAnsi="Scala OT"/>
          <w:highlight w:val="red"/>
        </w:rPr>
        <w:t>CoronaImpfV</w:t>
      </w:r>
      <w:proofErr w:type="spellEnd"/>
      <w:r>
        <w:rPr>
          <w:rFonts w:ascii="Scala OT" w:hAnsi="Scala OT"/>
          <w:highlight w:val="red"/>
        </w:rPr>
        <w:t>); Außerkrafttreten 31.12.2021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Coronavirus-Schutzmasken-Verordnung (</w:t>
      </w:r>
      <w:proofErr w:type="spellStart"/>
      <w:r>
        <w:rPr>
          <w:rFonts w:ascii="Scala OT" w:hAnsi="Scala OT"/>
        </w:rPr>
        <w:t>SchutzmV</w:t>
      </w:r>
      <w:proofErr w:type="spellEnd"/>
      <w:r>
        <w:rPr>
          <w:rFonts w:ascii="Scala OT" w:hAnsi="Scala OT"/>
        </w:rPr>
        <w:t>)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Monoklonale-Antikörper-Verordnung (MAKV)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COVID-19-Versorgungsstrukturen-Schutzverordnung (COVID-19-VSt-SchutzV)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Verordnung zur Sicherung der Ausbildungen in den Gesundheitsfachberufen während einer epidemischen Lage von nationaler Tragweite (</w:t>
      </w:r>
      <w:proofErr w:type="spellStart"/>
      <w:r>
        <w:rPr>
          <w:rFonts w:ascii="Scala OT" w:hAnsi="Scala OT"/>
        </w:rPr>
        <w:t>GesBerAusbSV</w:t>
      </w:r>
      <w:proofErr w:type="spellEnd"/>
      <w:r>
        <w:rPr>
          <w:rFonts w:ascii="Scala OT" w:hAnsi="Scala OT"/>
        </w:rPr>
        <w:t>)</w:t>
      </w:r>
      <w:r>
        <w:rPr>
          <w:rFonts w:ascii="Scala OT" w:hAnsi="Scala OT"/>
        </w:rPr>
        <w:t>– Medizinischer Bedarf Versorgungssicherstellungsverordnung (</w:t>
      </w:r>
      <w:proofErr w:type="spellStart"/>
      <w:r>
        <w:rPr>
          <w:rFonts w:ascii="Scala OT" w:hAnsi="Scala OT"/>
        </w:rPr>
        <w:t>MedBVSV</w:t>
      </w:r>
      <w:proofErr w:type="spellEnd"/>
      <w:r>
        <w:rPr>
          <w:rFonts w:ascii="Scala OT" w:hAnsi="Scala OT"/>
        </w:rPr>
        <w:t>); Außerkrafttreten 31.05.2022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SARS-CoV-2-Arzneimittelversorgungsverordnung (SARS-CoV-2-AMVV); Außerkrafttreten 31.05.2022</w:t>
      </w:r>
    </w:p>
    <w:p>
      <w:pPr>
        <w:rPr>
          <w:rFonts w:ascii="Scala OT" w:hAnsi="Scala OT"/>
        </w:rPr>
      </w:pPr>
      <w:r>
        <w:rPr>
          <w:rFonts w:ascii="Scala OT" w:hAnsi="Scala OT"/>
        </w:rPr>
        <w:lastRenderedPageBreak/>
        <w:t>– Verordnung zur Beschaffung von Medizinprodukten und persönlicher Schutzausrüstung bei der durch das Coronavirus SARS-CoV-2 verursachten Epidemie (COVID-19-MPGAusnV); Außerkrafttreten 31.05.2022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Grippeimpfstoffrückerstattungsverordnung (</w:t>
      </w:r>
      <w:proofErr w:type="spellStart"/>
      <w:r>
        <w:rPr>
          <w:rFonts w:ascii="Scala OT" w:hAnsi="Scala OT"/>
        </w:rPr>
        <w:t>GrImpfSRV</w:t>
      </w:r>
      <w:proofErr w:type="spellEnd"/>
      <w:r>
        <w:rPr>
          <w:rFonts w:ascii="Scala OT" w:hAnsi="Scala OT"/>
        </w:rPr>
        <w:t>); Außerkrafttreten 04.10.2022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III. Außerkrafttreten unabhängig von der Aufhebung der Feststellung</w:t>
      </w: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1. mit festem Zeitpunkt des Außerkrafttretens</w:t>
      </w:r>
    </w:p>
    <w:p>
      <w:pPr>
        <w:rPr>
          <w:rFonts w:ascii="Scala OT" w:hAnsi="Scala OT"/>
        </w:rPr>
      </w:pPr>
      <w:r>
        <w:rPr>
          <w:rFonts w:ascii="Scala OT" w:hAnsi="Scala OT"/>
          <w:highlight w:val="red"/>
        </w:rPr>
        <w:t>– Coronavirus-Testverordnung (TestV); Außerkrafttreten 31.12.2021</w:t>
      </w:r>
    </w:p>
    <w:p>
      <w:pPr>
        <w:rPr>
          <w:rFonts w:ascii="Scala OT" w:hAnsi="Scala OT"/>
        </w:rPr>
      </w:pPr>
      <w:r>
        <w:rPr>
          <w:rFonts w:ascii="Scala OT" w:hAnsi="Scala OT"/>
          <w:highlight w:val="red"/>
        </w:rPr>
        <w:t>– Coronavirus-</w:t>
      </w:r>
      <w:proofErr w:type="spellStart"/>
      <w:r>
        <w:rPr>
          <w:rFonts w:ascii="Scala OT" w:hAnsi="Scala OT"/>
          <w:highlight w:val="red"/>
        </w:rPr>
        <w:t>Surveillanceverordnung</w:t>
      </w:r>
      <w:proofErr w:type="spellEnd"/>
      <w:r>
        <w:rPr>
          <w:rFonts w:ascii="Scala OT" w:hAnsi="Scala OT"/>
          <w:highlight w:val="red"/>
        </w:rPr>
        <w:t xml:space="preserve"> (</w:t>
      </w:r>
      <w:proofErr w:type="spellStart"/>
      <w:r>
        <w:rPr>
          <w:rFonts w:ascii="Scala OT" w:hAnsi="Scala OT"/>
          <w:highlight w:val="red"/>
        </w:rPr>
        <w:t>CorSurV</w:t>
      </w:r>
      <w:proofErr w:type="spellEnd"/>
      <w:r>
        <w:rPr>
          <w:rFonts w:ascii="Scala OT" w:hAnsi="Scala OT"/>
          <w:highlight w:val="red"/>
        </w:rPr>
        <w:t>); Außerkrafttreten 31.03.2022, Datenübermittlung ans RKI letztmalig zum 31.12.2021 zulässig</w:t>
      </w:r>
    </w:p>
    <w:p>
      <w:pPr>
        <w:rPr>
          <w:rFonts w:ascii="Scala OT" w:hAnsi="Scala OT"/>
        </w:rPr>
      </w:pPr>
      <w:r>
        <w:rPr>
          <w:rFonts w:ascii="Scala OT" w:hAnsi="Scala OT"/>
          <w:highlight w:val="red"/>
        </w:rPr>
        <w:t>– Verordnung über die Erweiterung der Meldepflicht nach § 6 Absatz 1 Satz 1 Nummer 1 des Infektionsschutzgesetzes auf Hospitalisierungen in Bezug auf die Coronavirus-Krankheit-2019 (</w:t>
      </w:r>
      <w:proofErr w:type="spellStart"/>
      <w:r>
        <w:rPr>
          <w:rFonts w:ascii="Scala OT" w:hAnsi="Scala OT"/>
          <w:highlight w:val="red"/>
        </w:rPr>
        <w:t>IfSGMeldPflV</w:t>
      </w:r>
      <w:proofErr w:type="spellEnd"/>
      <w:r>
        <w:rPr>
          <w:rFonts w:ascii="Scala OT" w:hAnsi="Scala OT"/>
          <w:highlight w:val="red"/>
        </w:rPr>
        <w:t>); Außerkrafttreten 13.07.2022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Verordnung zur Erstattung pandemiebedingter Kosten der sozialen Pflegeversicherung durch Bundesmittel (PKEV); Außerkrafttreten 31.12.2021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 xml:space="preserve">– Zweite Verordnung zur Verlängerung von Maßnahmen zur Aufrechterhaltung der pflegerischen Versorgung während der durch das Coronavirus SARS-CoV-2 verursachten Pandemie (2. </w:t>
      </w:r>
      <w:proofErr w:type="spellStart"/>
      <w:r>
        <w:rPr>
          <w:rFonts w:ascii="Scala OT" w:hAnsi="Scala OT"/>
        </w:rPr>
        <w:t>PflMaVeV</w:t>
      </w:r>
      <w:proofErr w:type="spellEnd"/>
      <w:r>
        <w:rPr>
          <w:rFonts w:ascii="Scala OT" w:hAnsi="Scala OT"/>
        </w:rPr>
        <w:t>); Außerkrafttreten 31.12.2021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 xml:space="preserve">– </w:t>
      </w:r>
      <w:r>
        <w:rPr>
          <w:rFonts w:ascii="Scala OT" w:hAnsi="Scala OT"/>
        </w:rPr>
        <w:t>Allgemeinverfügung</w:t>
      </w:r>
      <w:r>
        <w:rPr>
          <w:rFonts w:ascii="Scala OT" w:hAnsi="Scala OT"/>
        </w:rPr>
        <w:t xml:space="preserve"> </w:t>
      </w:r>
      <w:r>
        <w:rPr>
          <w:rFonts w:ascii="Scala OT" w:hAnsi="Scala OT"/>
        </w:rPr>
        <w:t>zur Sicherstellung der flächendeckenden Verteilung von Impfstoffen</w:t>
      </w:r>
      <w:r>
        <w:rPr>
          <w:rFonts w:ascii="Scala OT" w:hAnsi="Scala OT"/>
        </w:rPr>
        <w:t xml:space="preserve"> </w:t>
      </w:r>
      <w:r>
        <w:rPr>
          <w:rFonts w:ascii="Scala OT" w:hAnsi="Scala OT"/>
        </w:rPr>
        <w:t>gegen COVID-19 an Arztpraxen und Betriebsärztinnen und Betriebsärzte</w:t>
      </w:r>
      <w:r>
        <w:rPr>
          <w:rFonts w:ascii="Scala OT" w:hAnsi="Scala OT"/>
        </w:rPr>
        <w:t>; Außerkrafttreten 31.12.2021</w:t>
      </w:r>
    </w:p>
    <w:p>
      <w:pPr>
        <w:rPr>
          <w:rFonts w:ascii="Scala OT" w:hAnsi="Scala OT"/>
          <w:u w:val="single"/>
        </w:rPr>
      </w:pPr>
    </w:p>
    <w:p>
      <w:pPr>
        <w:rPr>
          <w:rFonts w:ascii="Scala OT" w:hAnsi="Scala OT"/>
        </w:rPr>
      </w:pPr>
      <w:r>
        <w:rPr>
          <w:rFonts w:ascii="Scala OT" w:hAnsi="Scala OT"/>
          <w:u w:val="single"/>
        </w:rPr>
        <w:t>2. ohne festen Zeitpunkt des Außerkrafttretens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COVID-19-Schutzmaßnahmen-Ausnahmenverordnung (</w:t>
      </w:r>
      <w:proofErr w:type="spellStart"/>
      <w:r>
        <w:rPr>
          <w:rFonts w:ascii="Scala OT" w:hAnsi="Scala OT"/>
        </w:rPr>
        <w:t>SchAusnahmV</w:t>
      </w:r>
      <w:proofErr w:type="spellEnd"/>
      <w:r>
        <w:rPr>
          <w:rFonts w:ascii="Scala OT" w:hAnsi="Scala OT"/>
        </w:rPr>
        <w:t>)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Verordnung zur Anpassung der Ausgleichszahlungen an Krankenhäuser aufgrund von Sonderbelastungen durch das Coronavirus SARS-CoV-2 (</w:t>
      </w:r>
      <w:proofErr w:type="spellStart"/>
      <w:r>
        <w:rPr>
          <w:rFonts w:ascii="Scala OT" w:hAnsi="Scala OT"/>
        </w:rPr>
        <w:t>AusglZAV</w:t>
      </w:r>
      <w:proofErr w:type="spellEnd"/>
      <w:r>
        <w:rPr>
          <w:rFonts w:ascii="Scala OT" w:hAnsi="Scala OT"/>
        </w:rPr>
        <w:t>)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  <w:u w:val="single"/>
        </w:rPr>
      </w:pPr>
    </w:p>
    <w:p>
      <w:pPr>
        <w:rPr>
          <w:rFonts w:ascii="Scala OT" w:hAnsi="Scala OT"/>
          <w:u w:val="single"/>
        </w:rPr>
      </w:pP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II. Gesetze</w:t>
      </w:r>
    </w:p>
    <w:p>
      <w:pPr>
        <w:rPr>
          <w:rFonts w:ascii="Scala OT" w:hAnsi="Scala OT"/>
          <w:u w:val="single"/>
        </w:rPr>
      </w:pPr>
      <w:r>
        <w:rPr>
          <w:rFonts w:ascii="Scala OT" w:hAnsi="Scala OT"/>
          <w:u w:val="single"/>
        </w:rPr>
        <w:t>1.</w:t>
      </w:r>
      <w:r>
        <w:rPr>
          <w:rFonts w:ascii="Scala OT" w:hAnsi="Scala OT"/>
          <w:b/>
          <w:u w:val="single"/>
        </w:rPr>
        <w:t xml:space="preserve"> </w:t>
      </w:r>
      <w:r>
        <w:rPr>
          <w:rFonts w:ascii="Scala OT" w:hAnsi="Scala OT"/>
          <w:u w:val="single"/>
        </w:rPr>
        <w:t>§ 5 IfSG: Epidemische Lage von nationaler Tragweite</w:t>
      </w:r>
    </w:p>
    <w:p>
      <w:pPr>
        <w:rPr>
          <w:rFonts w:ascii="Scala OT" w:hAnsi="Scala OT"/>
        </w:rPr>
      </w:pPr>
      <w:r>
        <w:rPr>
          <w:rFonts w:ascii="Scala OT" w:hAnsi="Scala OT"/>
        </w:rPr>
        <w:lastRenderedPageBreak/>
        <w:t>– Abs. 2, Abs. 4: Verordnungsermächtigungen und Anordnungsbefugnisse des BMG fallen weg (hierzu s.o. zu I.)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Abs. 6: Befugnis des BMG, unter Heranziehung der Empfehlungen des RKI Empfehlungen abgeben, um ein koordiniertes Vorgehen innerhalb der Bundesrepublik Deutschland zu ermöglichen, entfällt</w:t>
      </w:r>
    </w:p>
    <w:p>
      <w:pPr>
        <w:rPr>
          <w:rFonts w:ascii="Scala OT" w:hAnsi="Scala OT"/>
        </w:rPr>
      </w:pPr>
      <w:r>
        <w:rPr>
          <w:rFonts w:ascii="Scala OT" w:hAnsi="Scala OT"/>
          <w:highlight w:val="red"/>
        </w:rPr>
        <w:t>– Abs. 7: Aufgabe des RKI, die Zusammenarbeit zwischen den Ländern und zwischen den Ländern und dem Bund sowie weiteren beteiligten Behörden und Stellen zu koordinieren und Informationen auszutauschen, entfällt; Verpflichtung der zuständigen Landesbehörden zur unverzüglichen Information der Kontaktstelle beim RKI (§ 4 Abs. 1 Satz 7 IfSG), wenn die Durchführung notwendiger Maßnahmen nach dem 5. Abschnitt nicht mehr gewährleistet ist, entfällt</w:t>
      </w:r>
    </w:p>
    <w:p>
      <w:pPr>
        <w:rPr>
          <w:rFonts w:ascii="Scala OT" w:hAnsi="Scala OT"/>
        </w:rPr>
      </w:pPr>
      <w:r>
        <w:rPr>
          <w:rFonts w:ascii="Scala OT" w:hAnsi="Scala OT"/>
        </w:rPr>
        <w:t>– Abs. 8: Befugnis des BMG, (insbesondere) das Deutsche Rote Kreuz, die Johanniter-Unfall-Hilfe, den Malteser Hilfsdienst, den Arbeiter-Samariter-Bund und die Deutsche Lebens-Rettungs-Gesellschaft zu beauftragen, bei der Bewältigung der epidemischen Lage von nationaler Tragweite Hilfe zu leisten, entfällt</w:t>
      </w:r>
    </w:p>
    <w:p>
      <w:pPr>
        <w:rPr>
          <w:rFonts w:ascii="Scala OT" w:hAnsi="Scala OT"/>
        </w:rPr>
      </w:pPr>
    </w:p>
    <w:p>
      <w:pPr>
        <w:rPr>
          <w:rFonts w:ascii="Scala OT" w:hAnsi="Scala OT"/>
          <w:sz w:val="24"/>
          <w:u w:val="single"/>
        </w:rPr>
      </w:pPr>
      <w:r>
        <w:rPr>
          <w:rFonts w:ascii="Scala OT" w:hAnsi="Scala OT"/>
          <w:u w:val="single"/>
        </w:rPr>
        <w:t xml:space="preserve">2. § </w:t>
      </w:r>
      <w:r>
        <w:rPr>
          <w:rFonts w:ascii="Scala OT" w:hAnsi="Scala OT"/>
          <w:sz w:val="24"/>
          <w:u w:val="single"/>
        </w:rPr>
        <w:t>5a</w:t>
      </w:r>
      <w:r>
        <w:rPr>
          <w:u w:val="single"/>
        </w:rPr>
        <w:t xml:space="preserve"> </w:t>
      </w:r>
      <w:r>
        <w:rPr>
          <w:rFonts w:ascii="Scala OT" w:hAnsi="Scala OT"/>
          <w:sz w:val="24"/>
          <w:u w:val="single"/>
        </w:rPr>
        <w:t>IfSG: Ausübung heilkundlicher Tätigkeiten bei Vorliegen einer epidemischen Lage von nationaler Tragweite, Verordnungsermächtigung</w:t>
      </w:r>
    </w:p>
    <w:p>
      <w:pPr>
        <w:rPr>
          <w:rFonts w:ascii="Scala OT" w:hAnsi="Scala OT"/>
          <w:sz w:val="24"/>
        </w:rPr>
      </w:pPr>
      <w:r>
        <w:rPr>
          <w:rFonts w:ascii="Scala OT" w:hAnsi="Scala OT"/>
          <w:sz w:val="24"/>
        </w:rPr>
        <w:t>– Abs. 1: Befugnis zur Ausübung heilkundlicher Tätigkeiten für Angehörige bestimmter Berufsgruppen entfällt</w:t>
      </w:r>
    </w:p>
    <w:p>
      <w:pPr>
        <w:rPr>
          <w:rFonts w:ascii="Scala OT" w:hAnsi="Scala OT"/>
          <w:sz w:val="24"/>
        </w:rPr>
      </w:pPr>
      <w:r>
        <w:rPr>
          <w:rFonts w:ascii="Scala OT" w:hAnsi="Scala OT"/>
          <w:sz w:val="24"/>
        </w:rPr>
        <w:t>– Abs. 2: Verordnungsermächtigung des BMG entfällt (hiervon wurde bislang kein Gebrauch gemacht)</w:t>
      </w:r>
    </w:p>
    <w:p>
      <w:pPr>
        <w:rPr>
          <w:rFonts w:ascii="Scala OT" w:hAnsi="Scala OT"/>
          <w:sz w:val="24"/>
        </w:rPr>
      </w:pPr>
    </w:p>
    <w:p>
      <w:pPr>
        <w:rPr>
          <w:rFonts w:ascii="Scala OT" w:hAnsi="Scala OT"/>
          <w:sz w:val="24"/>
          <w:u w:val="single"/>
        </w:rPr>
      </w:pPr>
      <w:r>
        <w:rPr>
          <w:rFonts w:ascii="Scala OT" w:hAnsi="Scala OT"/>
          <w:sz w:val="24"/>
          <w:u w:val="single"/>
        </w:rPr>
        <w:t>3. § 28a</w:t>
      </w:r>
      <w:r>
        <w:rPr>
          <w:u w:val="single"/>
        </w:rPr>
        <w:t xml:space="preserve"> </w:t>
      </w:r>
      <w:r>
        <w:rPr>
          <w:rFonts w:ascii="Scala OT" w:hAnsi="Scala OT"/>
          <w:sz w:val="24"/>
          <w:u w:val="single"/>
        </w:rPr>
        <w:t>IfSG: Besondere Schutzmaßnahmen zur Verhinderung der Verbreitung der Coronavirus-Krankheit-2019 (COVID-19)</w:t>
      </w:r>
    </w:p>
    <w:p>
      <w:pPr>
        <w:rPr>
          <w:rFonts w:ascii="Scala OT" w:hAnsi="Scala OT"/>
          <w:sz w:val="24"/>
        </w:rPr>
      </w:pPr>
      <w:r>
        <w:rPr>
          <w:rFonts w:ascii="Scala OT" w:hAnsi="Scala OT"/>
          <w:sz w:val="24"/>
          <w:highlight w:val="red"/>
        </w:rPr>
        <w:t xml:space="preserve">– Abs. 1: die benannten Schutzmaßnahmen gelten nicht mehr als notwendige Schutzmaßnahmen zur Verhinderung der Verbreitung von COVID-19 </w:t>
      </w:r>
      <w:proofErr w:type="spellStart"/>
      <w:r>
        <w:rPr>
          <w:rFonts w:ascii="Scala OT" w:hAnsi="Scala OT"/>
          <w:sz w:val="24"/>
          <w:highlight w:val="red"/>
        </w:rPr>
        <w:t>i.S.d</w:t>
      </w:r>
      <w:proofErr w:type="spellEnd"/>
      <w:r>
        <w:rPr>
          <w:rFonts w:ascii="Scala OT" w:hAnsi="Scala OT"/>
          <w:sz w:val="24"/>
          <w:highlight w:val="red"/>
        </w:rPr>
        <w:t>. § 28 Abs. 1 IfSG</w:t>
      </w:r>
    </w:p>
    <w:p>
      <w:pPr>
        <w:rPr>
          <w:rFonts w:ascii="Scala OT" w:hAnsi="Scala OT"/>
        </w:rPr>
      </w:pPr>
      <w:r>
        <w:rPr>
          <w:rFonts w:ascii="Scala OT" w:hAnsi="Scala OT"/>
          <w:highlight w:val="red"/>
        </w:rPr>
        <w:t>– Abs. 7: soweit und solange die konkrete Gefahr der epidemischen Ausbreitung von COVID-19 in einem Land besteht und das Parlament in dem betroffenen Land die Anwendbarkeit der Abs. 1 bis 6 für das Land festgestellt hat, können die Länder weiterhin Maßnahmen nach den Abs. 1 bis 6 anordnen</w:t>
      </w:r>
    </w:p>
    <w:p>
      <w:pPr>
        <w:rPr>
          <w:rFonts w:ascii="Scala OT" w:hAnsi="Scala OT"/>
          <w:sz w:val="24"/>
        </w:rPr>
      </w:pPr>
    </w:p>
    <w:p>
      <w:pPr>
        <w:rPr>
          <w:rFonts w:ascii="Scala OT" w:hAnsi="Scala OT"/>
          <w:sz w:val="24"/>
          <w:u w:val="single"/>
        </w:rPr>
      </w:pPr>
      <w:r>
        <w:rPr>
          <w:rFonts w:ascii="Scala OT" w:hAnsi="Scala OT"/>
          <w:sz w:val="24"/>
          <w:u w:val="single"/>
        </w:rPr>
        <w:t>4. § 28b</w:t>
      </w:r>
      <w:r>
        <w:rPr>
          <w:u w:val="single"/>
        </w:rPr>
        <w:t xml:space="preserve"> </w:t>
      </w:r>
      <w:r>
        <w:rPr>
          <w:rFonts w:ascii="Scala OT" w:hAnsi="Scala OT"/>
          <w:sz w:val="24"/>
          <w:u w:val="single"/>
        </w:rPr>
        <w:t>IfSG: Bundesweit einheitliche Schutzmaßnahmen zur Verhinderung der Verbreitung der Coronavirus-Krankheit-2019 (COVID-19) bei besonderem Infektionsgeschehen, Verordnungsermächtigung; „Bundesnotbremse“</w:t>
      </w:r>
    </w:p>
    <w:p>
      <w:pPr>
        <w:jc w:val="both"/>
        <w:rPr>
          <w:rFonts w:ascii="Scala OT" w:hAnsi="Scala OT"/>
          <w:sz w:val="24"/>
        </w:rPr>
      </w:pPr>
      <w:r>
        <w:rPr>
          <w:rFonts w:ascii="Scala OT" w:hAnsi="Scala OT"/>
          <w:sz w:val="24"/>
        </w:rPr>
        <w:lastRenderedPageBreak/>
        <w:t>– „Bundesnotbremse“ gilt nach Abs. 10 bereits seit 30.06.2021 nicht mehr</w:t>
      </w:r>
    </w:p>
    <w:p>
      <w:pPr>
        <w:rPr>
          <w:rFonts w:ascii="Scala OT" w:hAnsi="Scala OT"/>
          <w:sz w:val="24"/>
        </w:rPr>
      </w:pPr>
    </w:p>
    <w:p>
      <w:pPr>
        <w:rPr>
          <w:rFonts w:ascii="Scala OT" w:hAnsi="Scala OT"/>
          <w:sz w:val="24"/>
          <w:u w:val="single"/>
        </w:rPr>
      </w:pPr>
      <w:r>
        <w:rPr>
          <w:rFonts w:ascii="Scala OT" w:hAnsi="Scala OT"/>
          <w:sz w:val="24"/>
          <w:u w:val="single"/>
        </w:rPr>
        <w:t>5. § 32 IfSG: Erlass von Rechtsverordnungen</w:t>
      </w:r>
    </w:p>
    <w:p>
      <w:pPr>
        <w:rPr>
          <w:rFonts w:ascii="Scala OT" w:hAnsi="Scala OT"/>
          <w:sz w:val="24"/>
        </w:rPr>
      </w:pPr>
      <w:r>
        <w:rPr>
          <w:rFonts w:ascii="Scala OT" w:hAnsi="Scala OT"/>
          <w:sz w:val="24"/>
          <w:highlight w:val="red"/>
        </w:rPr>
        <w:t>– Verordnungsermächtigung der Landesregierung im Hinblick auf Maßnahmen nach §</w:t>
      </w:r>
      <w:r>
        <w:rPr>
          <w:highlight w:val="red"/>
        </w:rPr>
        <w:t> </w:t>
      </w:r>
      <w:r>
        <w:rPr>
          <w:rFonts w:ascii="Scala OT" w:hAnsi="Scala OT"/>
          <w:sz w:val="24"/>
          <w:highlight w:val="red"/>
        </w:rPr>
        <w:t>28a IfSG (hierzu s.o. Nr. 3, Abs. 1) entfällt, außer das Parlament in dem betreffenden Land hat festgestellt, dass die konkrete Gefahr der epidemischen Ausbreitung von COVID-19 in diesem Land (weiterhin) besteht (hierzu s.o. Nr. 3, Abs. 7)</w:t>
      </w:r>
    </w:p>
    <w:p>
      <w:pPr>
        <w:rPr>
          <w:rFonts w:ascii="Scala OT" w:hAnsi="Scala OT"/>
          <w:sz w:val="24"/>
        </w:rPr>
      </w:pPr>
    </w:p>
    <w:p>
      <w:pPr>
        <w:rPr>
          <w:rFonts w:ascii="Scala OT" w:hAnsi="Scala OT"/>
          <w:sz w:val="24"/>
          <w:u w:val="single"/>
        </w:rPr>
      </w:pPr>
      <w:r>
        <w:rPr>
          <w:rFonts w:ascii="Scala OT" w:hAnsi="Scala OT"/>
          <w:sz w:val="24"/>
          <w:u w:val="single"/>
        </w:rPr>
        <w:t>6. § 36</w:t>
      </w:r>
      <w:r>
        <w:rPr>
          <w:u w:val="single"/>
        </w:rPr>
        <w:t xml:space="preserve"> </w:t>
      </w:r>
      <w:r>
        <w:rPr>
          <w:rFonts w:ascii="Scala OT" w:hAnsi="Scala OT"/>
          <w:sz w:val="24"/>
          <w:u w:val="single"/>
        </w:rPr>
        <w:t>IfSG</w:t>
      </w:r>
    </w:p>
    <w:p>
      <w:pPr>
        <w:rPr>
          <w:rFonts w:ascii="Scala OT" w:hAnsi="Scala OT"/>
          <w:sz w:val="24"/>
        </w:rPr>
      </w:pPr>
      <w:r>
        <w:rPr>
          <w:rFonts w:ascii="Scala OT" w:hAnsi="Scala OT"/>
          <w:sz w:val="24"/>
        </w:rPr>
        <w:t xml:space="preserve">– Abs. 3: Befugnis der Arbeitgeber der in § 36 Abs. 1 und 2 genannten Einrichtungen und Unternehmen zur Erhebung des Impf- und </w:t>
      </w:r>
      <w:proofErr w:type="spellStart"/>
      <w:r>
        <w:rPr>
          <w:rFonts w:ascii="Scala OT" w:hAnsi="Scala OT"/>
          <w:sz w:val="24"/>
        </w:rPr>
        <w:t>Serostatus</w:t>
      </w:r>
      <w:proofErr w:type="spellEnd"/>
      <w:r>
        <w:rPr>
          <w:rFonts w:ascii="Scala OT" w:hAnsi="Scala OT"/>
          <w:sz w:val="24"/>
        </w:rPr>
        <w:t xml:space="preserve"> von </w:t>
      </w:r>
      <w:bookmarkStart w:id="0" w:name="_GoBack"/>
      <w:bookmarkEnd w:id="0"/>
      <w:r>
        <w:rPr>
          <w:rFonts w:ascii="Scala OT" w:hAnsi="Scala OT"/>
          <w:sz w:val="24"/>
        </w:rPr>
        <w:t xml:space="preserve">Beschäftigten </w:t>
      </w:r>
      <w:r>
        <w:rPr>
          <w:rFonts w:ascii="Scala OT" w:hAnsi="Scala OT"/>
          <w:sz w:val="24"/>
        </w:rPr>
        <w:t>in Bezug auf COVID-19 entfällt</w:t>
      </w:r>
    </w:p>
    <w:p>
      <w:pPr>
        <w:rPr>
          <w:rFonts w:ascii="Scala OT" w:hAnsi="Scala OT"/>
          <w:sz w:val="24"/>
        </w:rPr>
      </w:pPr>
    </w:p>
    <w:p>
      <w:pPr>
        <w:rPr>
          <w:rFonts w:ascii="Scala OT" w:hAnsi="Scala OT"/>
          <w:sz w:val="24"/>
          <w:u w:val="single"/>
        </w:rPr>
      </w:pPr>
      <w:r>
        <w:rPr>
          <w:rFonts w:ascii="Scala OT" w:hAnsi="Scala OT"/>
          <w:sz w:val="24"/>
          <w:u w:val="single"/>
        </w:rPr>
        <w:t>7. § 56</w:t>
      </w:r>
      <w:r>
        <w:rPr>
          <w:u w:val="single"/>
        </w:rPr>
        <w:t xml:space="preserve"> </w:t>
      </w:r>
      <w:r>
        <w:rPr>
          <w:rFonts w:ascii="Scala OT" w:hAnsi="Scala OT"/>
          <w:sz w:val="24"/>
          <w:u w:val="single"/>
        </w:rPr>
        <w:t>IfSG: Entschädigung</w:t>
      </w:r>
    </w:p>
    <w:p>
      <w:pPr>
        <w:rPr>
          <w:rFonts w:ascii="Scala OT" w:hAnsi="Scala OT"/>
          <w:sz w:val="24"/>
        </w:rPr>
      </w:pPr>
      <w:r>
        <w:rPr>
          <w:rFonts w:ascii="Scala OT" w:hAnsi="Scala OT"/>
          <w:sz w:val="24"/>
        </w:rPr>
        <w:t>– Abs. 1a, Abs. 2: Anspruch auf Entschädigung erwerbstätiger Personen bei Schließung von Betreuungseinrichtungen usw. entfällt</w:t>
      </w:r>
    </w:p>
    <w:p>
      <w:pPr>
        <w:ind w:left="708" w:hanging="708"/>
        <w:rPr>
          <w:rFonts w:ascii="Scala OT" w:hAnsi="Scala OT"/>
          <w:sz w:val="24"/>
        </w:rPr>
      </w:pPr>
    </w:p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 OT">
    <w:panose1 w:val="02010504040101020104"/>
    <w:charset w:val="00"/>
    <w:family w:val="auto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64342297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Seite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von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EBE"/>
    <w:multiLevelType w:val="hybridMultilevel"/>
    <w:tmpl w:val="08CE4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843C0-0B1D-4F45-903B-8413E062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Scala Sans OT" w:hAnsi="Scala Sans OT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Scala Sans OT" w:hAnsi="Scala Sans O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Scala Sans OT" w:hAnsi="Scala Sans OT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Scala Sans OT" w:hAnsi="Scala Sans O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Mehlitz, Joachim-Martin</dc:creator>
  <cp:keywords/>
  <dc:description/>
  <cp:lastModifiedBy>Mehlitz, Joachim-Martin</cp:lastModifiedBy>
  <cp:revision>108</cp:revision>
  <dcterms:created xsi:type="dcterms:W3CDTF">2021-10-20T14:36:00Z</dcterms:created>
  <dcterms:modified xsi:type="dcterms:W3CDTF">2021-10-21T11:28:00Z</dcterms:modified>
</cp:coreProperties>
</file>