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27.10.2021: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Outcome Indikatoren: D im Vergleich zu anderen Ländern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Präsentation: Aktuellen Einschätzung der Datenlage zur </w:t>
            </w:r>
            <w:proofErr w:type="spellStart"/>
            <w:r>
              <w:t>Seroprävalenz</w:t>
            </w:r>
            <w:proofErr w:type="spellEnd"/>
            <w:r>
              <w:t xml:space="preserve"> in Deutschland und Ausblick auf noch kommende Ergebnisse in CoMoBu.</w:t>
            </w:r>
          </w:p>
        </w:tc>
        <w:tc>
          <w:tcPr>
            <w:tcW w:w="1809" w:type="dxa"/>
          </w:tcPr>
          <w:p>
            <w:r>
              <w:br/>
              <w:t>FG 25</w:t>
            </w:r>
          </w:p>
          <w:p>
            <w:r>
              <w:t>Offergeld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29.10.2021,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6</cp:revision>
  <cp:lastPrinted>2020-03-13T12:00:00Z</cp:lastPrinted>
  <dcterms:created xsi:type="dcterms:W3CDTF">2021-10-20T11:43:00Z</dcterms:created>
  <dcterms:modified xsi:type="dcterms:W3CDTF">2022-12-22T13:40:00Z</dcterms:modified>
</cp:coreProperties>
</file>