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29.10.2021: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spacing w:after="200"/>
              <w:ind w:left="1440"/>
            </w:pP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sz w:val="22"/>
                <w:szCs w:val="22"/>
              </w:rPr>
              <w:t>Altersstratifizierte Darstellung der Anteile Hospitalisierter, der Anteile schwerer Verlaufsformen und der Anteile der Verstorbenen</w:t>
            </w:r>
          </w:p>
          <w:p>
            <w:pPr>
              <w:pStyle w:val="Listenabsatz"/>
              <w:spacing w:after="200"/>
              <w:ind w:left="1440"/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  <w:p/>
          <w:p>
            <w:r>
              <w:t xml:space="preserve">FG33 + </w:t>
            </w:r>
            <w:r>
              <w:br/>
              <w:t>FG32, Diercke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WHO Generaldirektor verlängert PHEIC und zeitl. befristete Empfehlungen für 3 weitere Monate </w:t>
            </w:r>
          </w:p>
        </w:tc>
        <w:tc>
          <w:tcPr>
            <w:tcW w:w="1809" w:type="dxa"/>
          </w:tcPr>
          <w:p>
            <w:r>
              <w:t>ZIG</w:t>
            </w:r>
            <w:r>
              <w:br/>
              <w:t>FG38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CWA-Folien</w:t>
            </w:r>
          </w:p>
        </w:tc>
        <w:tc>
          <w:tcPr>
            <w:tcW w:w="1809" w:type="dxa"/>
          </w:tcPr>
          <w:p>
            <w:r>
              <w:t>Kaspari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lastRenderedPageBreak/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EinreiseVo</w:t>
            </w:r>
            <w:proofErr w:type="spellEnd"/>
            <w:r>
              <w:t xml:space="preserve"> voraussichtlich bis 15.01.2022 verlängert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Int. Kommunikation wieder arbeitsintensiv </w:t>
            </w:r>
            <w:r>
              <w:br/>
              <w:t>(</w:t>
            </w:r>
            <w:proofErr w:type="spellStart"/>
            <w:r>
              <w:t>wahrs</w:t>
            </w:r>
            <w:proofErr w:type="spellEnd"/>
            <w:r>
              <w:t>. herbstferienbedingt)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03.11.2021,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24F9-D288-4A01-B539-6B01D794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9</cp:revision>
  <cp:lastPrinted>2020-03-13T12:00:00Z</cp:lastPrinted>
  <dcterms:created xsi:type="dcterms:W3CDTF">2021-10-28T08:32:00Z</dcterms:created>
  <dcterms:modified xsi:type="dcterms:W3CDTF">2022-12-22T13:41:00Z</dcterms:modified>
</cp:coreProperties>
</file>