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3,,</w:t>
          </w:r>
          <w:proofErr w:type="gramEnd"/>
          <w:r>
            <w:rPr>
              <w:b/>
              <w:i/>
              <w:sz w:val="22"/>
            </w:rPr>
            <w:t xml:space="preserve"> ZBS1 ,ZBS7, 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International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ARS-Daten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 – entfällt am 24.11.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</w:rPr>
              <w:t xml:space="preserve">VOC-Bericht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 – entfällt am 24.11.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Molekulare Surveillance </w:t>
            </w:r>
            <w:r>
              <w:rPr>
                <w:b/>
                <w:i/>
                <w:color w:val="BFBFBF" w:themeColor="background1" w:themeShade="BF"/>
                <w:sz w:val="20"/>
              </w:rPr>
              <w:t xml:space="preserve">(nur mittwochs) </w:t>
            </w:r>
            <w:r>
              <w:rPr>
                <w:b/>
                <w:i/>
                <w:color w:val="BFBFBF" w:themeColor="background1" w:themeShade="BF"/>
                <w:sz w:val="20"/>
              </w:rPr>
              <w:br/>
              <w:t>– entfällt am 24.11.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color w:val="BFBFBF" w:themeColor="background1" w:themeShade="BF"/>
              </w:rPr>
            </w:pPr>
            <w:proofErr w:type="spellStart"/>
            <w:r>
              <w:rPr>
                <w:color w:val="BFBFBF" w:themeColor="background1" w:themeShade="BF"/>
              </w:rPr>
              <w:t>Syndromische</w:t>
            </w:r>
            <w:proofErr w:type="spellEnd"/>
            <w:r>
              <w:rPr>
                <w:color w:val="BFBFBF" w:themeColor="background1" w:themeShade="BF"/>
              </w:rPr>
              <w:t xml:space="preserve"> Surveillance </w:t>
            </w:r>
            <w:r>
              <w:rPr>
                <w:b/>
                <w:i/>
                <w:color w:val="BFBFBF" w:themeColor="background1" w:themeShade="BF"/>
                <w:sz w:val="20"/>
              </w:rPr>
              <w:t xml:space="preserve">(nur mittwochs) </w:t>
            </w:r>
            <w:r>
              <w:rPr>
                <w:b/>
                <w:i/>
                <w:color w:val="BFBFBF" w:themeColor="background1" w:themeShade="BF"/>
                <w:sz w:val="20"/>
              </w:rPr>
              <w:br/>
              <w:t>– entfällt am 24.11.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Virologische </w:t>
            </w:r>
            <w:proofErr w:type="gramStart"/>
            <w:r>
              <w:rPr>
                <w:color w:val="BFBFBF" w:themeColor="background1" w:themeShade="BF"/>
              </w:rPr>
              <w:t>Surveillance,  NRZ</w:t>
            </w:r>
            <w:proofErr w:type="gramEnd"/>
            <w:r>
              <w:rPr>
                <w:color w:val="BFBFBF" w:themeColor="background1" w:themeShade="BF"/>
              </w:rPr>
              <w:t xml:space="preserve">-Influenza-Daten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  <w:r>
              <w:rPr>
                <w:b/>
                <w:i/>
                <w:color w:val="BFBFBF" w:themeColor="background1" w:themeShade="BF"/>
                <w:sz w:val="20"/>
              </w:rPr>
              <w:br/>
              <w:t>– entfällt am 24.11.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Modellierungen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</w:pPr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FG37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FG36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MF1/MF2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FG36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FG17</w:t>
            </w:r>
          </w:p>
          <w:p/>
          <w:p/>
          <w:p/>
          <w:p>
            <w:r>
              <w:t>MF4</w:t>
            </w:r>
            <w:r>
              <w:br/>
            </w:r>
          </w:p>
          <w:p>
            <w:r>
              <w:rPr>
                <w:color w:val="BFBFBF" w:themeColor="background1" w:themeShade="BF"/>
              </w:rPr>
              <w:t>P4 (Dirk Brockmann)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Internationales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b/>
                <w:color w:val="BFBFBF" w:themeColor="background1" w:themeShade="BF"/>
              </w:rPr>
              <w:t xml:space="preserve">Update Digitale Projekte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ind w:left="720"/>
              <w:rPr>
                <w:b/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Schmich</w:t>
            </w:r>
          </w:p>
          <w:p>
            <w:pPr>
              <w:rPr>
                <w:color w:val="BFBFBF" w:themeColor="background1" w:themeShade="BF"/>
              </w:rPr>
            </w:pP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Restrukturierte Version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2G/3G Flyer Update/Änderung Kommunikation der Testung und Maskengebrauch bei Kontakt mit Risikogruppen Flyer</w:t>
            </w:r>
          </w:p>
        </w:tc>
        <w:tc>
          <w:tcPr>
            <w:tcW w:w="1809" w:type="dxa"/>
          </w:tcPr>
          <w:p>
            <w:r>
              <w:t xml:space="preserve">BZgA, Presse, P1 (Leuker) 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8"/>
              </w:numPr>
            </w:pPr>
            <w:r>
              <w:t xml:space="preserve">Verschiedene Datenangebote zur Hospitalisierungsinzidenz: Was soll das RKI kommunizieren, wie häufig, auf welcher geographischen Ebene? (7-Tageswert tagesaktuell, eingefroren, nachkorrigiert, </w:t>
            </w:r>
            <w:proofErr w:type="spellStart"/>
            <w:r>
              <w:t>Nowcast</w:t>
            </w:r>
            <w:proofErr w:type="spellEnd"/>
            <w:r>
              <w:t>…)</w:t>
            </w:r>
          </w:p>
          <w:p>
            <w:pPr>
              <w:pStyle w:val="Listenabsatz"/>
              <w:numPr>
                <w:ilvl w:val="0"/>
                <w:numId w:val="18"/>
              </w:numPr>
            </w:pPr>
            <w:r>
              <w:t>Verschiedene Anliegen aus der AGI (Wegfall von PCR-Testindikationen u.a.)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Dokumente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Alle</w:t>
            </w:r>
          </w:p>
          <w:p>
            <w:pPr>
              <w:rPr>
                <w:color w:val="BFBFBF" w:themeColor="background1" w:themeShade="BF"/>
              </w:rPr>
            </w:pP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Update Impfen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FG33</w:t>
            </w:r>
          </w:p>
          <w:p>
            <w:pPr>
              <w:pStyle w:val="NurText"/>
              <w:rPr>
                <w:color w:val="BFBFBF" w:themeColor="background1" w:themeShade="BF"/>
              </w:rPr>
            </w:pP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Labordiagnostik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Klinisches Management/Entlassungsmanagement    </w:t>
            </w:r>
            <w:proofErr w:type="gramStart"/>
            <w:r>
              <w:rPr>
                <w:b/>
                <w:color w:val="BFBFBF" w:themeColor="background1" w:themeShade="BF"/>
              </w:rPr>
              <w:t xml:space="preserve">   </w:t>
            </w:r>
            <w:r>
              <w:rPr>
                <w:b/>
                <w:i/>
                <w:color w:val="BFBFBF" w:themeColor="background1" w:themeShade="BF"/>
                <w:sz w:val="20"/>
              </w:rPr>
              <w:t>(</w:t>
            </w:r>
            <w:proofErr w:type="gramEnd"/>
            <w:r>
              <w:rPr>
                <w:b/>
                <w:i/>
                <w:color w:val="BFBFBF" w:themeColor="background1" w:themeShade="BF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Maßnahmen zum Infektionsschutz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Surveillance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FG32</w:t>
            </w:r>
            <w:r>
              <w:rPr>
                <w:color w:val="BFBFBF" w:themeColor="background1" w:themeShade="BF"/>
              </w:rP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Transport und Grenzübergangsstellen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Information aus dem Lagezentrum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proofErr w:type="gramStart"/>
            <w:r>
              <w:rPr>
                <w:b/>
              </w:rPr>
              <w:t>A:ndere</w:t>
            </w:r>
            <w:proofErr w:type="gramEnd"/>
            <w:r>
              <w:rPr>
                <w:b/>
              </w:rPr>
              <w:t xml:space="preserve">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26.11.2021,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ab/>
      <w:t xml:space="preserve">             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726"/>
    <w:multiLevelType w:val="hybridMultilevel"/>
    <w:tmpl w:val="5C58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A9A4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3C920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40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after="0"/>
    </w:pPr>
    <w:rPr>
      <w:rFonts w:ascii="Calibri" w:hAnsi="Calibri" w:cs="Calibr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6E5F-167C-485E-90CC-F207E798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21</cp:revision>
  <cp:lastPrinted>2020-03-13T12:00:00Z</cp:lastPrinted>
  <dcterms:created xsi:type="dcterms:W3CDTF">2021-11-15T08:33:00Z</dcterms:created>
  <dcterms:modified xsi:type="dcterms:W3CDTF">2022-12-22T13:43:00Z</dcterms:modified>
</cp:coreProperties>
</file>