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Titel"/>
        <w:spacing w:line="276" w:lineRule="auto"/>
        <w:rPr>
          <w:color w:val="365F91" w:themeColor="accent1" w:themeShade="BF"/>
          <w:sz w:val="40"/>
          <w:szCs w:val="40"/>
        </w:rPr>
      </w:pPr>
      <w:bookmarkStart w:id="0" w:name="_Hlk88763701"/>
      <w:bookmarkStart w:id="1" w:name="_Hlk59996370"/>
      <w:bookmarkStart w:id="2" w:name="_Hlk59986141"/>
      <w:bookmarkEnd w:id="0"/>
      <w:r>
        <w:rPr>
          <w:b/>
          <w:color w:val="365F91" w:themeColor="accent1" w:themeShade="BF"/>
          <w:sz w:val="40"/>
          <w:szCs w:val="40"/>
        </w:rPr>
        <w:t>Erlass ID_4617: Einschätzung</w:t>
      </w:r>
      <w:r>
        <w:rPr>
          <w:color w:val="365F91" w:themeColor="accent1" w:themeShade="BF"/>
          <w:sz w:val="40"/>
          <w:szCs w:val="40"/>
        </w:rPr>
        <w:t xml:space="preserve"> </w:t>
      </w:r>
      <w:r>
        <w:rPr>
          <w:b/>
          <w:color w:val="365F91" w:themeColor="accent1" w:themeShade="BF"/>
          <w:sz w:val="40"/>
        </w:rPr>
        <w:t>neue SARS-CoV-2 Variante B.1.1.529 in Südafrika</w:t>
      </w:r>
    </w:p>
    <w:p>
      <w:pPr>
        <w:spacing w:after="0"/>
        <w:rPr>
          <w:color w:val="365F91" w:themeColor="accent1" w:themeShade="BF"/>
        </w:rPr>
      </w:pPr>
    </w:p>
    <w:p>
      <w:pPr>
        <w:spacing w:after="0"/>
        <w:rPr>
          <w:rFonts w:asciiTheme="majorHAnsi" w:hAnsiTheme="majorHAnsi" w:cs="Helvetica"/>
          <w:color w:val="365F91" w:themeColor="accent1" w:themeShade="BF"/>
        </w:rPr>
      </w:pPr>
      <w:r>
        <w:rPr>
          <w:rFonts w:asciiTheme="majorHAnsi" w:hAnsiTheme="majorHAnsi" w:cs="Helvetica"/>
          <w:color w:val="365F91" w:themeColor="accent1" w:themeShade="BF"/>
        </w:rPr>
        <w:t xml:space="preserve">Autoren: </w:t>
      </w:r>
      <w:r>
        <w:rPr>
          <w:rFonts w:asciiTheme="majorHAnsi" w:hAnsiTheme="majorHAnsi"/>
          <w:i/>
          <w:color w:val="365F91" w:themeColor="accent1" w:themeShade="BF"/>
        </w:rPr>
        <w:t xml:space="preserve">Thorsten Wolff (FG17), Stefan Kröger (FG36), Stephan Fuchs (), </w:t>
      </w:r>
      <w:proofErr w:type="spellStart"/>
      <w:r>
        <w:rPr>
          <w:rFonts w:asciiTheme="majorHAnsi" w:hAnsiTheme="majorHAnsi"/>
          <w:i/>
          <w:color w:val="365F91" w:themeColor="accent1" w:themeShade="BF"/>
        </w:rPr>
        <w:t>Djin</w:t>
      </w:r>
      <w:proofErr w:type="spellEnd"/>
      <w:r>
        <w:rPr>
          <w:rFonts w:asciiTheme="majorHAnsi" w:hAnsiTheme="majorHAnsi"/>
          <w:i/>
          <w:color w:val="365F91" w:themeColor="accent1" w:themeShade="BF"/>
        </w:rPr>
        <w:t xml:space="preserve">-je Oh (), Heinz Ellerbrock (ZIG4), Regina Singer, Anna Rohde, </w:t>
      </w:r>
      <w:r>
        <w:rPr>
          <w:rFonts w:asciiTheme="majorHAnsi" w:hAnsiTheme="majorHAnsi" w:cs="Helvetica"/>
          <w:i/>
          <w:color w:val="365F91" w:themeColor="accent1" w:themeShade="BF"/>
        </w:rPr>
        <w:t>Romy Kerber (ZIG1)</w:t>
      </w:r>
      <w:r>
        <w:rPr>
          <w:rFonts w:asciiTheme="majorHAnsi" w:hAnsiTheme="majorHAnsi" w:cs="Helvetica"/>
          <w:color w:val="365F91" w:themeColor="accent1" w:themeShade="BF"/>
        </w:rPr>
        <w:t xml:space="preserve"> </w:t>
      </w:r>
    </w:p>
    <w:p>
      <w:pPr>
        <w:spacing w:after="0"/>
        <w:rPr>
          <w:rFonts w:asciiTheme="majorHAnsi" w:hAnsiTheme="majorHAnsi" w:cs="Helvetica"/>
          <w:color w:val="365F91" w:themeColor="accent1" w:themeShade="BF"/>
        </w:rPr>
      </w:pPr>
      <w:r>
        <w:rPr>
          <w:rFonts w:asciiTheme="majorHAnsi" w:hAnsiTheme="majorHAnsi" w:cs="Helvetica"/>
          <w:color w:val="365F91" w:themeColor="accent1" w:themeShade="BF"/>
        </w:rPr>
        <w:t xml:space="preserve">Stand: 26.11.2021 </w:t>
      </w:r>
    </w:p>
    <w:p>
      <w:pPr>
        <w:spacing w:after="0"/>
        <w:rPr>
          <w:rFonts w:asciiTheme="majorHAnsi" w:hAnsiTheme="majorHAnsi" w:cs="Helvetica"/>
        </w:rPr>
      </w:pPr>
    </w:p>
    <w:sdt>
      <w:sdtPr>
        <w:rPr>
          <w:rFonts w:asciiTheme="minorHAnsi" w:eastAsiaTheme="minorHAnsi" w:hAnsiTheme="minorHAnsi" w:cstheme="minorBidi"/>
          <w:color w:val="auto"/>
          <w:sz w:val="22"/>
          <w:szCs w:val="22"/>
          <w:lang w:eastAsia="en-US"/>
        </w:rPr>
        <w:id w:val="-1289974549"/>
        <w:docPartObj>
          <w:docPartGallery w:val="Table of Contents"/>
          <w:docPartUnique/>
        </w:docPartObj>
      </w:sdtPr>
      <w:sdtEndPr>
        <w:rPr>
          <w:b/>
          <w:bCs/>
        </w:rPr>
      </w:sdtEndPr>
      <w:sdtContent>
        <w:p>
          <w:pPr>
            <w:pStyle w:val="Inhaltsverzeichnisberschrift"/>
            <w:spacing w:before="0" w:line="276" w:lineRule="auto"/>
          </w:pPr>
          <w:r>
            <w:t>Inhalt</w:t>
          </w:r>
        </w:p>
        <w:p>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88811125" w:history="1">
            <w:r>
              <w:rPr>
                <w:rStyle w:val="Hyperlink"/>
                <w:noProof/>
              </w:rPr>
              <w:t>Zusammenfassung</w:t>
            </w:r>
            <w:r>
              <w:rPr>
                <w:noProof/>
                <w:webHidden/>
              </w:rPr>
              <w:tab/>
            </w:r>
            <w:r>
              <w:rPr>
                <w:noProof/>
                <w:webHidden/>
              </w:rPr>
              <w:fldChar w:fldCharType="begin"/>
            </w:r>
            <w:r>
              <w:rPr>
                <w:noProof/>
                <w:webHidden/>
              </w:rPr>
              <w:instrText xml:space="preserve"> PAGEREF _Toc88811125 \h </w:instrText>
            </w:r>
            <w:r>
              <w:rPr>
                <w:noProof/>
                <w:webHidden/>
              </w:rPr>
            </w:r>
            <w:r>
              <w:rPr>
                <w:noProof/>
                <w:webHidden/>
              </w:rPr>
              <w:fldChar w:fldCharType="separate"/>
            </w:r>
            <w:r>
              <w:rPr>
                <w:noProof/>
                <w:webHidden/>
              </w:rPr>
              <w:t>1</w:t>
            </w:r>
            <w:r>
              <w:rPr>
                <w:noProof/>
                <w:webHidden/>
              </w:rPr>
              <w:fldChar w:fldCharType="end"/>
            </w:r>
          </w:hyperlink>
        </w:p>
        <w:p>
          <w:pPr>
            <w:pStyle w:val="Verzeichnis1"/>
            <w:tabs>
              <w:tab w:val="right" w:leader="dot" w:pos="9062"/>
            </w:tabs>
            <w:rPr>
              <w:rFonts w:eastAsiaTheme="minorEastAsia"/>
              <w:noProof/>
              <w:lang w:eastAsia="de-DE"/>
            </w:rPr>
          </w:pPr>
          <w:hyperlink w:anchor="_Toc88811126" w:history="1">
            <w:r>
              <w:rPr>
                <w:rStyle w:val="Hyperlink"/>
                <w:noProof/>
              </w:rPr>
              <w:t>Im Einzelnen</w:t>
            </w:r>
            <w:r>
              <w:rPr>
                <w:noProof/>
                <w:webHidden/>
              </w:rPr>
              <w:tab/>
            </w:r>
            <w:r>
              <w:rPr>
                <w:noProof/>
                <w:webHidden/>
              </w:rPr>
              <w:fldChar w:fldCharType="begin"/>
            </w:r>
            <w:r>
              <w:rPr>
                <w:noProof/>
                <w:webHidden/>
              </w:rPr>
              <w:instrText xml:space="preserve"> PAGEREF _Toc88811126 \h </w:instrText>
            </w:r>
            <w:r>
              <w:rPr>
                <w:noProof/>
                <w:webHidden/>
              </w:rPr>
            </w:r>
            <w:r>
              <w:rPr>
                <w:noProof/>
                <w:webHidden/>
              </w:rPr>
              <w:fldChar w:fldCharType="separate"/>
            </w:r>
            <w:r>
              <w:rPr>
                <w:noProof/>
                <w:webHidden/>
              </w:rPr>
              <w:t>2</w:t>
            </w:r>
            <w:r>
              <w:rPr>
                <w:noProof/>
                <w:webHidden/>
              </w:rPr>
              <w:fldChar w:fldCharType="end"/>
            </w:r>
          </w:hyperlink>
        </w:p>
        <w:p>
          <w:pPr>
            <w:pStyle w:val="Verzeichnis2"/>
            <w:tabs>
              <w:tab w:val="right" w:leader="dot" w:pos="9062"/>
            </w:tabs>
            <w:rPr>
              <w:rFonts w:eastAsiaTheme="minorEastAsia"/>
              <w:noProof/>
              <w:lang w:eastAsia="de-DE"/>
            </w:rPr>
          </w:pPr>
          <w:hyperlink w:anchor="_Toc88811127" w:history="1">
            <w:r>
              <w:rPr>
                <w:rStyle w:val="Hyperlink"/>
                <w:noProof/>
              </w:rPr>
              <w:t>Epidemiologische COVID-19 Lage in Südafrika</w:t>
            </w:r>
            <w:r>
              <w:rPr>
                <w:noProof/>
                <w:webHidden/>
              </w:rPr>
              <w:tab/>
            </w:r>
            <w:r>
              <w:rPr>
                <w:noProof/>
                <w:webHidden/>
              </w:rPr>
              <w:fldChar w:fldCharType="begin"/>
            </w:r>
            <w:r>
              <w:rPr>
                <w:noProof/>
                <w:webHidden/>
              </w:rPr>
              <w:instrText xml:space="preserve"> PAGEREF _Toc88811127 \h </w:instrText>
            </w:r>
            <w:r>
              <w:rPr>
                <w:noProof/>
                <w:webHidden/>
              </w:rPr>
            </w:r>
            <w:r>
              <w:rPr>
                <w:noProof/>
                <w:webHidden/>
              </w:rPr>
              <w:fldChar w:fldCharType="separate"/>
            </w:r>
            <w:r>
              <w:rPr>
                <w:noProof/>
                <w:webHidden/>
              </w:rPr>
              <w:t>2</w:t>
            </w:r>
            <w:r>
              <w:rPr>
                <w:noProof/>
                <w:webHidden/>
              </w:rPr>
              <w:fldChar w:fldCharType="end"/>
            </w:r>
          </w:hyperlink>
        </w:p>
        <w:p>
          <w:pPr>
            <w:pStyle w:val="Verzeichnis2"/>
            <w:tabs>
              <w:tab w:val="right" w:leader="dot" w:pos="9062"/>
            </w:tabs>
            <w:rPr>
              <w:rFonts w:eastAsiaTheme="minorEastAsia"/>
              <w:noProof/>
              <w:lang w:eastAsia="de-DE"/>
            </w:rPr>
          </w:pPr>
          <w:hyperlink w:anchor="_Toc88811128" w:history="1">
            <w:r>
              <w:rPr>
                <w:rStyle w:val="Hyperlink"/>
                <w:noProof/>
              </w:rPr>
              <w:t>Die neue Virusvariante B.1.1.529 in Südafrika</w:t>
            </w:r>
            <w:r>
              <w:rPr>
                <w:noProof/>
                <w:webHidden/>
              </w:rPr>
              <w:tab/>
            </w:r>
            <w:r>
              <w:rPr>
                <w:noProof/>
                <w:webHidden/>
              </w:rPr>
              <w:fldChar w:fldCharType="begin"/>
            </w:r>
            <w:r>
              <w:rPr>
                <w:noProof/>
                <w:webHidden/>
              </w:rPr>
              <w:instrText xml:space="preserve"> PAGEREF _Toc88811128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right" w:leader="dot" w:pos="9062"/>
            </w:tabs>
            <w:rPr>
              <w:rFonts w:eastAsiaTheme="minorEastAsia"/>
              <w:noProof/>
              <w:lang w:eastAsia="de-DE"/>
            </w:rPr>
          </w:pPr>
          <w:hyperlink w:anchor="_Toc88811129" w:history="1">
            <w:r>
              <w:rPr>
                <w:rStyle w:val="Hyperlink"/>
                <w:noProof/>
              </w:rPr>
              <w:t>Internationale Maßnahmen</w:t>
            </w:r>
            <w:r>
              <w:rPr>
                <w:noProof/>
                <w:webHidden/>
              </w:rPr>
              <w:tab/>
            </w:r>
            <w:r>
              <w:rPr>
                <w:noProof/>
                <w:webHidden/>
              </w:rPr>
              <w:fldChar w:fldCharType="begin"/>
            </w:r>
            <w:r>
              <w:rPr>
                <w:noProof/>
                <w:webHidden/>
              </w:rPr>
              <w:instrText xml:space="preserve"> PAGEREF _Toc88811129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right" w:leader="dot" w:pos="9062"/>
            </w:tabs>
            <w:rPr>
              <w:rFonts w:eastAsiaTheme="minorEastAsia"/>
              <w:noProof/>
              <w:lang w:eastAsia="de-DE"/>
            </w:rPr>
          </w:pPr>
          <w:hyperlink w:anchor="_Toc88811130" w:history="1">
            <w:r>
              <w:rPr>
                <w:rStyle w:val="Hyperlink"/>
                <w:noProof/>
              </w:rPr>
              <w:t>Zeitlicher Ablauf</w:t>
            </w:r>
            <w:r>
              <w:rPr>
                <w:noProof/>
                <w:webHidden/>
              </w:rPr>
              <w:tab/>
            </w:r>
            <w:r>
              <w:rPr>
                <w:noProof/>
                <w:webHidden/>
              </w:rPr>
              <w:fldChar w:fldCharType="begin"/>
            </w:r>
            <w:r>
              <w:rPr>
                <w:noProof/>
                <w:webHidden/>
              </w:rPr>
              <w:instrText xml:space="preserve"> PAGEREF _Toc88811130 \h </w:instrText>
            </w:r>
            <w:r>
              <w:rPr>
                <w:noProof/>
                <w:webHidden/>
              </w:rPr>
            </w:r>
            <w:r>
              <w:rPr>
                <w:noProof/>
                <w:webHidden/>
              </w:rPr>
              <w:fldChar w:fldCharType="separate"/>
            </w:r>
            <w:r>
              <w:rPr>
                <w:noProof/>
                <w:webHidden/>
              </w:rPr>
              <w:t>6</w:t>
            </w:r>
            <w:r>
              <w:rPr>
                <w:noProof/>
                <w:webHidden/>
              </w:rPr>
              <w:fldChar w:fldCharType="end"/>
            </w:r>
          </w:hyperlink>
        </w:p>
        <w:p>
          <w:pPr>
            <w:pStyle w:val="Verzeichnis1"/>
            <w:tabs>
              <w:tab w:val="right" w:leader="dot" w:pos="9062"/>
            </w:tabs>
            <w:rPr>
              <w:rFonts w:eastAsiaTheme="minorEastAsia"/>
              <w:noProof/>
              <w:lang w:eastAsia="de-DE"/>
            </w:rPr>
          </w:pPr>
          <w:hyperlink w:anchor="_Toc88811131" w:history="1">
            <w:r>
              <w:rPr>
                <w:rStyle w:val="Hyperlink"/>
                <w:noProof/>
              </w:rPr>
              <w:t>Quellen</w:t>
            </w:r>
            <w:r>
              <w:rPr>
                <w:noProof/>
                <w:webHidden/>
              </w:rPr>
              <w:tab/>
            </w:r>
            <w:r>
              <w:rPr>
                <w:noProof/>
                <w:webHidden/>
              </w:rPr>
              <w:fldChar w:fldCharType="begin"/>
            </w:r>
            <w:r>
              <w:rPr>
                <w:noProof/>
                <w:webHidden/>
              </w:rPr>
              <w:instrText xml:space="preserve"> PAGEREF _Toc88811131 \h </w:instrText>
            </w:r>
            <w:r>
              <w:rPr>
                <w:noProof/>
                <w:webHidden/>
              </w:rPr>
            </w:r>
            <w:r>
              <w:rPr>
                <w:noProof/>
                <w:webHidden/>
              </w:rPr>
              <w:fldChar w:fldCharType="separate"/>
            </w:r>
            <w:r>
              <w:rPr>
                <w:noProof/>
                <w:webHidden/>
              </w:rPr>
              <w:t>6</w:t>
            </w:r>
            <w:r>
              <w:rPr>
                <w:noProof/>
                <w:webHidden/>
              </w:rPr>
              <w:fldChar w:fldCharType="end"/>
            </w:r>
          </w:hyperlink>
        </w:p>
        <w:p>
          <w:pPr>
            <w:spacing w:after="0"/>
          </w:pPr>
          <w:r>
            <w:rPr>
              <w:b/>
              <w:bCs/>
            </w:rPr>
            <w:fldChar w:fldCharType="end"/>
          </w:r>
        </w:p>
      </w:sdtContent>
    </w:sdt>
    <w:p>
      <w:pPr>
        <w:spacing w:after="0"/>
        <w:jc w:val="both"/>
        <w:rPr>
          <w:sz w:val="24"/>
        </w:rPr>
      </w:pPr>
    </w:p>
    <w:p>
      <w:pPr>
        <w:pStyle w:val="berschrift1"/>
        <w:spacing w:before="0"/>
      </w:pPr>
      <w:bookmarkStart w:id="3" w:name="_Toc88811125"/>
      <w:bookmarkEnd w:id="1"/>
      <w:bookmarkEnd w:id="2"/>
      <w:r>
        <w:t>Zusammenfassung</w:t>
      </w:r>
      <w:bookmarkEnd w:id="3"/>
      <w:r>
        <w:t xml:space="preserve"> </w:t>
      </w:r>
    </w:p>
    <w:p>
      <w:pPr>
        <w:spacing w:after="0"/>
        <w:jc w:val="both"/>
      </w:pPr>
      <w:r>
        <w:t xml:space="preserve">Die neue Variante B.1.1.529 tritt in Verbindung mit einem starken Fallzahlanstieg in der letzten Woche vor allem in Tshwane, in der Provinz </w:t>
      </w:r>
      <w:proofErr w:type="spellStart"/>
      <w:r>
        <w:t>Gauteng</w:t>
      </w:r>
      <w:proofErr w:type="spellEnd"/>
      <w:r>
        <w:t xml:space="preserve">, Südafrika, bei einer aktuellen 7-Tage-Inzidenz von 6,5/100.000 Einwohnern, auf. Einzelne Nachweise stammen aus Botswana (4) und Hongkong (1, mit Reisehistorie Südafrika). Es handelt sich insgesamt bisher um unter 100 Nachweise. Bislang ist B.1.1.529 noch nicht in Deutschland nachgewiesen worden. Es liegen dem RKI keine Informationen über Nachweise in Europa vor. </w:t>
      </w:r>
    </w:p>
    <w:p>
      <w:pPr>
        <w:spacing w:after="0"/>
        <w:jc w:val="both"/>
      </w:pPr>
      <w:r>
        <w:t xml:space="preserve">B.1.1.529 besitzt im Vergleich zum ursprünglichen SARS-CoV-2 aus Wuhan ca. 30 Aminosäureänderungen im Spike Protein, darunter solche mit bekanntem phänotypischem Einfluss (Erhöhung der Transmission, Immunevasion) aber auch viele Mutationen, die bisher nicht virologisch charakterisiert wurden. Derzeit gibt es noch keine Erkenntnisse zu phänotypischen Auswirkungen dieser Mutationen von B.1.1.529 (z.B. zur Transmissionsfähigkeit, Immunevasion, Krankheitsschwere). Laut RKI-Expertinnen und Experten werden belastbare Daten zu phänotypischen Ausprägungen von B.1.1.529 hinsichtlich Virulenz, der Wirksamkeit von Impfstoffen und der </w:t>
      </w:r>
      <w:proofErr w:type="spellStart"/>
      <w:r>
        <w:t>Transmissibilität</w:t>
      </w:r>
      <w:proofErr w:type="spellEnd"/>
      <w:r>
        <w:t>, die diagnostische und experimentelle Analysen erfordern, vermutlich erst in den nächsten Wochen verfügbar sein.</w:t>
      </w:r>
    </w:p>
    <w:p>
      <w:pPr>
        <w:spacing w:after="0"/>
        <w:jc w:val="both"/>
      </w:pPr>
      <w:r>
        <w:t xml:space="preserve">Durch die zeitnahe Veröffentlichung durch die südafrikanischen Kolleginnen und Kollegen sehen wir derzeit die frühen Signale der Verbreitung von B.1.1.529. Durch den Fokus der Sequenzierungen auf die Provinz </w:t>
      </w:r>
      <w:proofErr w:type="spellStart"/>
      <w:r>
        <w:t>Gauteng</w:t>
      </w:r>
      <w:proofErr w:type="spellEnd"/>
      <w:r>
        <w:t>, liegen aus keiner anderen südafrikanischen Provinz Sequenzdaten zu SARS-CoV-2 vor. Aus den anderen Provinzen liegen lediglich Informationen zu S-Gen Ausfällen in PCR Tests vor, die auf sehr wenigen PCR Tests basieren, aber die eine Diskriminierung zur zuvor dominierenden Variante Delta erlauben. Es können daher bislang noch keine präzisen Aussagen zur Inzidenz von B.1.1.529 in Südafrika gezogen werden.</w:t>
      </w:r>
    </w:p>
    <w:p>
      <w:pPr>
        <w:spacing w:after="0"/>
        <w:jc w:val="both"/>
      </w:pPr>
      <w:r>
        <w:lastRenderedPageBreak/>
        <w:t xml:space="preserve">Zum gegenwärtigen Zeitpunkt wird B.1.1.529 noch nicht von WHO/ECDC als variant </w:t>
      </w:r>
      <w:proofErr w:type="spellStart"/>
      <w:r>
        <w:t>of</w:t>
      </w:r>
      <w:proofErr w:type="spellEnd"/>
      <w:r>
        <w:t xml:space="preserve"> </w:t>
      </w:r>
      <w:proofErr w:type="spellStart"/>
      <w:r>
        <w:t>interest</w:t>
      </w:r>
      <w:proofErr w:type="spellEnd"/>
      <w:r>
        <w:t xml:space="preserve"> (VOI) oder variant </w:t>
      </w:r>
      <w:proofErr w:type="spellStart"/>
      <w:r>
        <w:t>of</w:t>
      </w:r>
      <w:proofErr w:type="spellEnd"/>
      <w:r>
        <w:t xml:space="preserve"> </w:t>
      </w:r>
      <w:proofErr w:type="spellStart"/>
      <w:r>
        <w:t>concern</w:t>
      </w:r>
      <w:proofErr w:type="spellEnd"/>
      <w:r>
        <w:t xml:space="preserve"> (VOC) eingestuft und seit 24.11.2021 als variant </w:t>
      </w:r>
      <w:proofErr w:type="spellStart"/>
      <w:r>
        <w:t>under</w:t>
      </w:r>
      <w:proofErr w:type="spellEnd"/>
      <w:r>
        <w:t xml:space="preserve"> </w:t>
      </w:r>
      <w:proofErr w:type="spellStart"/>
      <w:r>
        <w:t>monitoring</w:t>
      </w:r>
      <w:proofErr w:type="spellEnd"/>
      <w:r>
        <w:t xml:space="preserve"> geführt. Die Variante wird aber sehr engmaschig durch NICD, WHO, ECDC beobachtet und ein potentielles Auftreten in Deutschland durch das RKI (auf Basis von DESH) gemonitort. Für den 26.11.2021 12 Uhr ist ein Treffen der TAG Gruppe der WHO zu B.1.1.529 angekündigt, in deren Kontext eine Einstufung in die Risikokategorien und eine neue Bezeichnung gemäß WHO Nomenklatur (griechischer Buchstabe) erwartet wird. Eine Vertreterin des RKI wird hier teilnehmen.</w:t>
      </w:r>
    </w:p>
    <w:p>
      <w:pPr>
        <w:spacing w:after="0"/>
        <w:jc w:val="both"/>
        <w:rPr>
          <w:sz w:val="24"/>
          <w:highlight w:val="yellow"/>
        </w:rPr>
      </w:pPr>
    </w:p>
    <w:p>
      <w:pPr>
        <w:spacing w:after="0"/>
        <w:jc w:val="both"/>
        <w:rPr>
          <w:sz w:val="24"/>
          <w:highlight w:val="yellow"/>
        </w:rPr>
      </w:pPr>
    </w:p>
    <w:p>
      <w:pPr>
        <w:pStyle w:val="berschrift1"/>
        <w:spacing w:before="0"/>
      </w:pPr>
      <w:bookmarkStart w:id="4" w:name="_Toc88164076"/>
      <w:bookmarkStart w:id="5" w:name="_Toc88811126"/>
      <w:r>
        <w:t>Im Einzelnen</w:t>
      </w:r>
      <w:bookmarkEnd w:id="4"/>
      <w:bookmarkEnd w:id="5"/>
    </w:p>
    <w:p>
      <w:pPr>
        <w:pStyle w:val="berschrift2"/>
        <w:spacing w:before="0"/>
      </w:pPr>
      <w:bookmarkStart w:id="6" w:name="_Toc88164077"/>
      <w:bookmarkStart w:id="7" w:name="_Toc88811127"/>
      <w:r>
        <w:t>Epidemiologi</w:t>
      </w:r>
      <w:bookmarkEnd w:id="6"/>
      <w:r>
        <w:t>sche COVID-19 Lage in Südafrika</w:t>
      </w:r>
      <w:bookmarkEnd w:id="7"/>
    </w:p>
    <w:p>
      <w:pPr>
        <w:pStyle w:val="Listenabsatz"/>
        <w:numPr>
          <w:ilvl w:val="0"/>
          <w:numId w:val="19"/>
        </w:numPr>
        <w:spacing w:after="0"/>
      </w:pPr>
      <w:r>
        <w:t xml:space="preserve">7-Tages-Inzidenz: </w:t>
      </w:r>
      <w:bookmarkStart w:id="8" w:name="_Hlk88772200"/>
      <w:r>
        <w:rPr>
          <w:b/>
        </w:rPr>
        <w:t xml:space="preserve">6,5/100.000 </w:t>
      </w:r>
      <w:proofErr w:type="spellStart"/>
      <w:r>
        <w:rPr>
          <w:b/>
        </w:rPr>
        <w:t>Ew</w:t>
      </w:r>
      <w:proofErr w:type="spellEnd"/>
      <w:r>
        <w:t>.</w:t>
      </w:r>
      <w:bookmarkEnd w:id="8"/>
    </w:p>
    <w:p>
      <w:pPr>
        <w:pStyle w:val="Listenabsatz"/>
        <w:numPr>
          <w:ilvl w:val="0"/>
          <w:numId w:val="19"/>
        </w:numPr>
        <w:spacing w:after="0"/>
      </w:pPr>
      <w:r>
        <w:t xml:space="preserve">Trend (7T-Inzidenz zur Vorwoche): </w:t>
      </w:r>
      <w:r>
        <w:rPr>
          <w:b/>
        </w:rPr>
        <w:t>+88%</w:t>
      </w:r>
    </w:p>
    <w:p>
      <w:pPr>
        <w:pStyle w:val="Listenabsatz"/>
        <w:numPr>
          <w:ilvl w:val="0"/>
          <w:numId w:val="19"/>
        </w:numPr>
        <w:spacing w:after="0"/>
      </w:pPr>
      <w:r>
        <w:t>Fälle 7 Tage: 3.826</w:t>
      </w:r>
    </w:p>
    <w:p>
      <w:pPr>
        <w:pStyle w:val="Listenabsatz"/>
        <w:numPr>
          <w:ilvl w:val="0"/>
          <w:numId w:val="19"/>
        </w:numPr>
        <w:spacing w:after="0"/>
      </w:pPr>
      <w:r>
        <w:t>Todesfälle 7 Tage: 131</w:t>
      </w:r>
    </w:p>
    <w:p>
      <w:pPr>
        <w:pStyle w:val="Listenabsatz"/>
        <w:numPr>
          <w:ilvl w:val="0"/>
          <w:numId w:val="19"/>
        </w:numPr>
        <w:spacing w:after="0"/>
      </w:pPr>
      <w:r>
        <w:t>Fall-Verstorbenen-Anteil 7 Tage: 3,4%</w:t>
      </w:r>
    </w:p>
    <w:p>
      <w:pPr>
        <w:pStyle w:val="Listenabsatz"/>
        <w:numPr>
          <w:ilvl w:val="0"/>
          <w:numId w:val="19"/>
        </w:numPr>
        <w:spacing w:after="0"/>
        <w:rPr>
          <w:lang w:val="en-US"/>
        </w:rPr>
      </w:pPr>
      <w:r>
        <w:rPr>
          <w:lang w:val="en-US"/>
        </w:rPr>
        <w:t xml:space="preserve">Tests: </w:t>
      </w:r>
      <w:r>
        <w:rPr>
          <w:rFonts w:cstheme="minorHAnsi"/>
          <w:lang w:val="en-US"/>
        </w:rPr>
        <w:t>(</w:t>
      </w:r>
      <w:r>
        <w:rPr>
          <w:lang w:val="en-US"/>
        </w:rPr>
        <w:t>Our World in Data, 21.11.2021):</w:t>
      </w:r>
    </w:p>
    <w:p>
      <w:pPr>
        <w:pStyle w:val="Listenabsatz"/>
        <w:numPr>
          <w:ilvl w:val="1"/>
          <w:numId w:val="19"/>
        </w:numPr>
        <w:spacing w:after="0"/>
        <w:contextualSpacing w:val="0"/>
        <w:rPr>
          <w:rFonts w:cstheme="minorHAnsi"/>
        </w:rPr>
      </w:pPr>
      <w:proofErr w:type="spellStart"/>
      <w:r>
        <w:rPr>
          <w:rFonts w:cstheme="minorHAnsi"/>
        </w:rPr>
        <w:t>Testrate</w:t>
      </w:r>
      <w:proofErr w:type="spellEnd"/>
      <w:r>
        <w:rPr>
          <w:rFonts w:cstheme="minorHAnsi"/>
        </w:rPr>
        <w:t xml:space="preserve">: ca. 329,8/100.000 </w:t>
      </w:r>
      <w:proofErr w:type="spellStart"/>
      <w:proofErr w:type="gramStart"/>
      <w:r>
        <w:rPr>
          <w:rFonts w:cstheme="minorHAnsi"/>
        </w:rPr>
        <w:t>Ew</w:t>
      </w:r>
      <w:proofErr w:type="spellEnd"/>
      <w:r>
        <w:rPr>
          <w:rFonts w:cstheme="minorHAnsi"/>
        </w:rPr>
        <w:t>./</w:t>
      </w:r>
      <w:proofErr w:type="gramEnd"/>
      <w:r>
        <w:rPr>
          <w:rFonts w:cstheme="minorHAnsi"/>
        </w:rPr>
        <w:t>Woche</w:t>
      </w:r>
    </w:p>
    <w:p>
      <w:pPr>
        <w:pStyle w:val="Listenabsatz"/>
        <w:numPr>
          <w:ilvl w:val="1"/>
          <w:numId w:val="19"/>
        </w:numPr>
        <w:spacing w:after="0"/>
        <w:contextualSpacing w:val="0"/>
        <w:rPr>
          <w:rFonts w:cstheme="minorHAnsi"/>
        </w:rPr>
      </w:pPr>
      <w:r>
        <w:rPr>
          <w:rFonts w:cstheme="minorHAnsi"/>
        </w:rPr>
        <w:t xml:space="preserve">Positivanteil: 2,1%  </w:t>
      </w:r>
    </w:p>
    <w:p>
      <w:pPr>
        <w:pStyle w:val="Listenabsatz"/>
        <w:numPr>
          <w:ilvl w:val="0"/>
          <w:numId w:val="19"/>
        </w:numPr>
        <w:spacing w:after="0"/>
        <w:rPr>
          <w:lang w:val="en-US"/>
        </w:rPr>
      </w:pPr>
      <w:proofErr w:type="spellStart"/>
      <w:r>
        <w:rPr>
          <w:lang w:val="en-US"/>
        </w:rPr>
        <w:t>Impfungen</w:t>
      </w:r>
      <w:proofErr w:type="spellEnd"/>
      <w:r>
        <w:rPr>
          <w:lang w:val="en-US"/>
        </w:rPr>
        <w:t xml:space="preserve"> </w:t>
      </w:r>
      <w:r>
        <w:rPr>
          <w:rFonts w:cstheme="minorHAnsi"/>
          <w:lang w:val="en-US"/>
        </w:rPr>
        <w:t>(</w:t>
      </w:r>
      <w:r>
        <w:rPr>
          <w:lang w:val="en-US"/>
        </w:rPr>
        <w:t>Our World in Data, 22.11.2021):</w:t>
      </w:r>
    </w:p>
    <w:p>
      <w:pPr>
        <w:pStyle w:val="Listenabsatz"/>
        <w:numPr>
          <w:ilvl w:val="1"/>
          <w:numId w:val="19"/>
        </w:numPr>
        <w:spacing w:after="0"/>
        <w:contextualSpacing w:val="0"/>
        <w:rPr>
          <w:rFonts w:cstheme="minorHAnsi"/>
        </w:rPr>
      </w:pPr>
      <w:r>
        <w:rPr>
          <w:rFonts w:cstheme="minorHAnsi"/>
        </w:rPr>
        <w:t>Anteil der Bevölkerung, die mindestens 1 Dosis erhalten haben: 28,1%</w:t>
      </w:r>
    </w:p>
    <w:p>
      <w:pPr>
        <w:pStyle w:val="Listenabsatz"/>
        <w:numPr>
          <w:ilvl w:val="1"/>
          <w:numId w:val="19"/>
        </w:numPr>
        <w:spacing w:after="0"/>
      </w:pPr>
      <w:r>
        <w:rPr>
          <w:rFonts w:cstheme="minorHAnsi"/>
        </w:rPr>
        <w:t xml:space="preserve">Anteil der Bevölkerung, die zwei Impfdosen erhalten haben: 23,5% </w:t>
      </w:r>
    </w:p>
    <w:p>
      <w:pPr>
        <w:spacing w:after="0"/>
      </w:pPr>
      <w:r>
        <w:rPr>
          <w:noProof/>
        </w:rPr>
        <w:drawing>
          <wp:anchor distT="0" distB="0" distL="114300" distR="114300" simplePos="0" relativeHeight="251658240" behindDoc="0" locked="0" layoutInCell="1" allowOverlap="1">
            <wp:simplePos x="0" y="0"/>
            <wp:positionH relativeFrom="column">
              <wp:posOffset>52705</wp:posOffset>
            </wp:positionH>
            <wp:positionV relativeFrom="paragraph">
              <wp:posOffset>25400</wp:posOffset>
            </wp:positionV>
            <wp:extent cx="2497455" cy="1960245"/>
            <wp:effectExtent l="0" t="0" r="0" b="190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3129"/>
                    <a:stretch/>
                  </pic:blipFill>
                  <pic:spPr bwMode="auto">
                    <a:xfrm>
                      <a:off x="0" y="0"/>
                      <a:ext cx="2497455" cy="196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spacing w:after="0"/>
        <w:rPr>
          <w:noProof/>
        </w:rPr>
      </w:pPr>
    </w:p>
    <w:p>
      <w:pPr>
        <w:spacing w:after="0"/>
        <w:rPr>
          <w:noProof/>
        </w:rPr>
      </w:pPr>
    </w:p>
    <w:p>
      <w:pPr>
        <w:spacing w:after="0"/>
        <w:rPr>
          <w:noProof/>
        </w:rPr>
      </w:pPr>
      <w:r>
        <w:rPr>
          <w:noProof/>
        </w:rPr>
        <w:drawing>
          <wp:anchor distT="0" distB="0" distL="114300" distR="114300" simplePos="0" relativeHeight="251659264" behindDoc="0" locked="0" layoutInCell="1" allowOverlap="1">
            <wp:simplePos x="0" y="0"/>
            <wp:positionH relativeFrom="column">
              <wp:posOffset>2784475</wp:posOffset>
            </wp:positionH>
            <wp:positionV relativeFrom="paragraph">
              <wp:posOffset>286385</wp:posOffset>
            </wp:positionV>
            <wp:extent cx="3157200" cy="964800"/>
            <wp:effectExtent l="0" t="0" r="5715" b="698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57200" cy="964800"/>
                    </a:xfrm>
                    <a:prstGeom prst="rect">
                      <a:avLst/>
                    </a:prstGeom>
                  </pic:spPr>
                </pic:pic>
              </a:graphicData>
            </a:graphic>
            <wp14:sizeRelH relativeFrom="margin">
              <wp14:pctWidth>0</wp14:pctWidth>
            </wp14:sizeRelH>
            <wp14:sizeRelV relativeFrom="margin">
              <wp14:pctHeight>0</wp14:pctHeight>
            </wp14:sizeRelV>
          </wp:anchor>
        </w:drawing>
      </w:r>
    </w:p>
    <w:p>
      <w:pPr>
        <w:spacing w:after="0"/>
        <w:rPr>
          <w:noProof/>
        </w:rPr>
      </w:pPr>
    </w:p>
    <w:p>
      <w:pPr>
        <w:pStyle w:val="KeinLeerraum"/>
        <w:spacing w:line="276" w:lineRule="auto"/>
        <w:rPr>
          <w:i/>
          <w:sz w:val="19"/>
          <w:szCs w:val="19"/>
        </w:rPr>
      </w:pPr>
      <w:proofErr w:type="spellStart"/>
      <w:r>
        <w:rPr>
          <w:i/>
          <w:sz w:val="19"/>
          <w:szCs w:val="19"/>
        </w:rPr>
        <w:t>Abb</w:t>
      </w:r>
      <w:proofErr w:type="spellEnd"/>
      <w:r>
        <w:rPr>
          <w:i/>
          <w:sz w:val="19"/>
          <w:szCs w:val="19"/>
        </w:rPr>
        <w:t xml:space="preserve"> 1.1.: Verlauf 7-Tage-Inzidenz (WHO, 24.11.2021</w:t>
      </w:r>
      <w:r>
        <w:rPr>
          <w:sz w:val="19"/>
          <w:szCs w:val="19"/>
        </w:rPr>
        <w:t xml:space="preserve">) </w:t>
      </w:r>
      <w:r>
        <w:rPr>
          <w:sz w:val="19"/>
          <w:szCs w:val="19"/>
        </w:rPr>
        <w:tab/>
        <w:t xml:space="preserve">       </w:t>
      </w:r>
      <w:r>
        <w:rPr>
          <w:i/>
          <w:sz w:val="19"/>
          <w:szCs w:val="19"/>
        </w:rPr>
        <w:t>Abb. 1.2: 14-Tage-Trend Fallzahlen (WHO, 24.11.2021)</w:t>
      </w:r>
    </w:p>
    <w:p>
      <w:pPr>
        <w:pStyle w:val="KeinLeerraum"/>
        <w:spacing w:line="276" w:lineRule="auto"/>
      </w:pPr>
    </w:p>
    <w:p>
      <w:pPr>
        <w:pStyle w:val="KeinLeerraum"/>
        <w:spacing w:line="276" w:lineRule="auto"/>
        <w:jc w:val="center"/>
      </w:pPr>
      <w:r>
        <w:rPr>
          <w:noProof/>
        </w:rPr>
        <w:lastRenderedPageBreak/>
        <w:drawing>
          <wp:inline distT="0" distB="0" distL="0" distR="0">
            <wp:extent cx="3832333" cy="221297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4920" cy="2220244"/>
                    </a:xfrm>
                    <a:prstGeom prst="rect">
                      <a:avLst/>
                    </a:prstGeom>
                  </pic:spPr>
                </pic:pic>
              </a:graphicData>
            </a:graphic>
          </wp:inline>
        </w:drawing>
      </w:r>
    </w:p>
    <w:p>
      <w:pPr>
        <w:spacing w:after="0"/>
      </w:pPr>
      <w:r>
        <w:rPr>
          <w:sz w:val="19"/>
          <w:szCs w:val="19"/>
        </w:rPr>
        <w:t xml:space="preserve">Abb.1.3.: Wöchentliche Inzidenz an laborbestätigten COVID-19-Fällen verteilt nach Provinz und Woche </w:t>
      </w:r>
      <w:r>
        <w:rPr>
          <w:i/>
          <w:sz w:val="19"/>
          <w:szCs w:val="19"/>
        </w:rPr>
        <w:t>(NICD Datenstand 25.11.2021)</w:t>
      </w:r>
    </w:p>
    <w:p>
      <w:pPr>
        <w:spacing w:after="0"/>
        <w:jc w:val="center"/>
      </w:pPr>
      <w:r>
        <w:rPr>
          <w:noProof/>
        </w:rPr>
        <w:drawing>
          <wp:inline distT="0" distB="0" distL="0" distR="0">
            <wp:extent cx="4680000" cy="1118244"/>
            <wp:effectExtent l="0" t="0" r="635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22"/>
                    <a:stretch/>
                  </pic:blipFill>
                  <pic:spPr bwMode="auto">
                    <a:xfrm>
                      <a:off x="0" y="0"/>
                      <a:ext cx="4680000" cy="1118244"/>
                    </a:xfrm>
                    <a:prstGeom prst="rect">
                      <a:avLst/>
                    </a:prstGeom>
                    <a:ln>
                      <a:noFill/>
                    </a:ln>
                    <a:extLst>
                      <a:ext uri="{53640926-AAD7-44D8-BBD7-CCE9431645EC}">
                        <a14:shadowObscured xmlns:a14="http://schemas.microsoft.com/office/drawing/2010/main"/>
                      </a:ext>
                    </a:extLst>
                  </pic:spPr>
                </pic:pic>
              </a:graphicData>
            </a:graphic>
          </wp:inline>
        </w:drawing>
      </w:r>
    </w:p>
    <w:p>
      <w:pPr>
        <w:spacing w:after="0"/>
        <w:rPr>
          <w:sz w:val="19"/>
          <w:szCs w:val="19"/>
        </w:rPr>
      </w:pPr>
      <w:r>
        <w:rPr>
          <w:sz w:val="19"/>
          <w:szCs w:val="19"/>
        </w:rPr>
        <w:t xml:space="preserve">Abb.1.4.: Wöchentliche Todesfallzahlen </w:t>
      </w:r>
      <w:r>
        <w:rPr>
          <w:i/>
          <w:sz w:val="19"/>
          <w:szCs w:val="19"/>
        </w:rPr>
        <w:t>(WHO, letzter Datenstand 22.11.2021</w:t>
      </w:r>
      <w:r>
        <w:rPr>
          <w:sz w:val="19"/>
          <w:szCs w:val="19"/>
        </w:rPr>
        <w:t>)</w:t>
      </w:r>
    </w:p>
    <w:p>
      <w:pPr>
        <w:spacing w:after="0"/>
      </w:pPr>
    </w:p>
    <w:p>
      <w:pPr>
        <w:pStyle w:val="Listenabsatz"/>
        <w:numPr>
          <w:ilvl w:val="0"/>
          <w:numId w:val="19"/>
        </w:numPr>
        <w:spacing w:after="0"/>
        <w:rPr>
          <w:rFonts w:eastAsia="Times New Roman"/>
        </w:rPr>
      </w:pPr>
      <w:r>
        <w:t xml:space="preserve">Mit Datenstand 20.11.2021 meldeten in </w:t>
      </w:r>
      <w:r>
        <w:rPr>
          <w:rFonts w:eastAsia="Times New Roman"/>
        </w:rPr>
        <w:t xml:space="preserve">vergangener Woche vier Provinzen Anstieg der Inzidenz: </w:t>
      </w:r>
      <w:proofErr w:type="spellStart"/>
      <w:r>
        <w:rPr>
          <w:rFonts w:eastAsia="Times New Roman"/>
        </w:rPr>
        <w:t>Gauteng</w:t>
      </w:r>
      <w:proofErr w:type="spellEnd"/>
      <w:r>
        <w:rPr>
          <w:rFonts w:eastAsia="Times New Roman"/>
        </w:rPr>
        <w:t xml:space="preserve">, North West, </w:t>
      </w:r>
      <w:proofErr w:type="spellStart"/>
      <w:r>
        <w:rPr>
          <w:rFonts w:eastAsia="Times New Roman"/>
        </w:rPr>
        <w:t>Mpumalanga</w:t>
      </w:r>
      <w:proofErr w:type="spellEnd"/>
      <w:r>
        <w:rPr>
          <w:rFonts w:eastAsia="Times New Roman"/>
        </w:rPr>
        <w:t xml:space="preserve"> und Limpopo</w:t>
      </w:r>
    </w:p>
    <w:p>
      <w:pPr>
        <w:pStyle w:val="Listenabsatz"/>
        <w:numPr>
          <w:ilvl w:val="0"/>
          <w:numId w:val="19"/>
        </w:numPr>
        <w:spacing w:after="0"/>
        <w:rPr>
          <w:rFonts w:eastAsia="Times New Roman"/>
        </w:rPr>
      </w:pPr>
      <w:r>
        <w:rPr>
          <w:rFonts w:eastAsia="Times New Roman"/>
        </w:rPr>
        <w:t xml:space="preserve">Stärkster Anstieg der Fallzahlen in </w:t>
      </w:r>
      <w:proofErr w:type="spellStart"/>
      <w:r>
        <w:rPr>
          <w:rFonts w:eastAsia="Times New Roman"/>
        </w:rPr>
        <w:t>Gauteng</w:t>
      </w:r>
      <w:proofErr w:type="spellEnd"/>
      <w:r>
        <w:rPr>
          <w:rFonts w:eastAsia="Times New Roman"/>
        </w:rPr>
        <w:t xml:space="preserve"> Provinz (Abb. 1.3) mit +282,6% im Vergleich zur Vorwoche und der höchsten wöchentlichen Inzidenz (15,0 Fälle pro 100 000 Einwohner), gefolgt von Provinz Nordkap (10,4 Fälle pro 100 000 Einwohner)</w:t>
      </w:r>
    </w:p>
    <w:p>
      <w:pPr>
        <w:pStyle w:val="Listenabsatz"/>
        <w:numPr>
          <w:ilvl w:val="0"/>
          <w:numId w:val="19"/>
        </w:numPr>
        <w:spacing w:after="0"/>
        <w:rPr>
          <w:rFonts w:eastAsia="Times New Roman"/>
        </w:rPr>
      </w:pPr>
      <w:r>
        <w:rPr>
          <w:rFonts w:eastAsia="Times New Roman"/>
        </w:rPr>
        <w:t xml:space="preserve">Provinz </w:t>
      </w:r>
      <w:proofErr w:type="spellStart"/>
      <w:r>
        <w:rPr>
          <w:rFonts w:eastAsia="Times New Roman"/>
        </w:rPr>
        <w:t>Gauteng</w:t>
      </w:r>
      <w:proofErr w:type="spellEnd"/>
      <w:r>
        <w:rPr>
          <w:rFonts w:eastAsia="Times New Roman"/>
        </w:rPr>
        <w:t xml:space="preserve"> verzeichnet 67,2% (2.326/3.460) aller gemeldeten Fälle in KW46</w:t>
      </w:r>
    </w:p>
    <w:p>
      <w:pPr>
        <w:pStyle w:val="Listenabsatz"/>
        <w:numPr>
          <w:ilvl w:val="0"/>
          <w:numId w:val="19"/>
        </w:numPr>
        <w:spacing w:after="0"/>
        <w:jc w:val="both"/>
        <w:rPr>
          <w:lang w:val="en-US"/>
        </w:rPr>
      </w:pPr>
      <w:r>
        <w:t>Es hat wohl eine Reihe von Feierlichkeiten ohne besondere Vorsichtsmaßnahmen in der Region gegeben (</w:t>
      </w:r>
      <w:proofErr w:type="spellStart"/>
      <w:r>
        <w:t>mündl</w:t>
      </w:r>
      <w:proofErr w:type="spellEnd"/>
      <w:r>
        <w:t xml:space="preserve">. </w:t>
      </w:r>
      <w:proofErr w:type="spellStart"/>
      <w:r>
        <w:rPr>
          <w:lang w:val="en-US"/>
        </w:rPr>
        <w:t>Kommunikation</w:t>
      </w:r>
      <w:proofErr w:type="spellEnd"/>
      <w:r>
        <w:rPr>
          <w:lang w:val="en-US"/>
        </w:rPr>
        <w:t xml:space="preserve">, </w:t>
      </w:r>
      <w:proofErr w:type="spellStart"/>
      <w:r>
        <w:rPr>
          <w:lang w:val="en-US"/>
        </w:rPr>
        <w:t>Kollege</w:t>
      </w:r>
      <w:proofErr w:type="spellEnd"/>
      <w:r>
        <w:rPr>
          <w:lang w:val="en-US"/>
        </w:rPr>
        <w:t xml:space="preserve"> der Faculty of Health Science, Division Medical Virology, University of Stellenbosch, </w:t>
      </w:r>
      <w:proofErr w:type="spellStart"/>
      <w:r>
        <w:rPr>
          <w:lang w:val="en-US"/>
        </w:rPr>
        <w:t>Kapstadt</w:t>
      </w:r>
      <w:proofErr w:type="spellEnd"/>
      <w:r>
        <w:rPr>
          <w:lang w:val="en-US"/>
        </w:rPr>
        <w:t xml:space="preserve">, </w:t>
      </w:r>
      <w:proofErr w:type="spellStart"/>
      <w:r>
        <w:rPr>
          <w:lang w:val="en-US"/>
        </w:rPr>
        <w:t>Südafrika</w:t>
      </w:r>
      <w:proofErr w:type="spellEnd"/>
      <w:r>
        <w:rPr>
          <w:lang w:val="en-US"/>
        </w:rPr>
        <w:t>)</w:t>
      </w:r>
    </w:p>
    <w:p>
      <w:pPr>
        <w:pStyle w:val="NurText"/>
        <w:numPr>
          <w:ilvl w:val="0"/>
          <w:numId w:val="21"/>
        </w:numPr>
        <w:spacing w:line="276" w:lineRule="auto"/>
        <w:rPr>
          <w:rFonts w:eastAsia="Times New Roman"/>
        </w:rPr>
      </w:pPr>
      <w:r>
        <w:rPr>
          <w:rFonts w:eastAsia="Times New Roman"/>
        </w:rPr>
        <w:t>Positivanteil in Tshwane ist innerhalb von einer Woche von &lt;5% auf &gt;30% gestiegen (Abb. 1.5 grün -&gt; rot) ohne das es Änderungen im Testverhalten gab</w:t>
      </w:r>
      <w:bookmarkStart w:id="9" w:name="_GoBack"/>
      <w:bookmarkEnd w:id="9"/>
      <w:r>
        <w:rPr>
          <w:rFonts w:eastAsia="Times New Roman"/>
        </w:rPr>
        <w:t xml:space="preserve">. Hinzukommt ein Anstieg des Positivanteils auch in den Nachbarkreisen. </w:t>
      </w:r>
    </w:p>
    <w:p>
      <w:pPr>
        <w:pStyle w:val="NurText"/>
        <w:numPr>
          <w:ilvl w:val="0"/>
          <w:numId w:val="21"/>
        </w:numPr>
        <w:spacing w:line="276" w:lineRule="auto"/>
        <w:rPr>
          <w:rFonts w:eastAsia="Times New Roman"/>
        </w:rPr>
      </w:pPr>
      <w:r>
        <w:rPr>
          <w:rFonts w:eastAsia="Times New Roman"/>
        </w:rPr>
        <w:t xml:space="preserve">Anstieg Inzidenzen in </w:t>
      </w:r>
      <w:proofErr w:type="spellStart"/>
      <w:r>
        <w:rPr>
          <w:rFonts w:eastAsia="Times New Roman"/>
        </w:rPr>
        <w:t>Gauteng</w:t>
      </w:r>
      <w:proofErr w:type="spellEnd"/>
      <w:r>
        <w:rPr>
          <w:rFonts w:eastAsia="Times New Roman"/>
        </w:rPr>
        <w:t xml:space="preserve">, Nordwest und </w:t>
      </w:r>
      <w:proofErr w:type="spellStart"/>
      <w:r>
        <w:rPr>
          <w:rFonts w:eastAsia="Times New Roman"/>
        </w:rPr>
        <w:t>Mpumalanga</w:t>
      </w:r>
      <w:proofErr w:type="spellEnd"/>
      <w:r>
        <w:rPr>
          <w:rFonts w:eastAsia="Times New Roman"/>
        </w:rPr>
        <w:t xml:space="preserve"> aufgrund Fallcluster am Tshwane Institute </w:t>
      </w:r>
      <w:proofErr w:type="spellStart"/>
      <w:r>
        <w:rPr>
          <w:rFonts w:eastAsia="Times New Roman"/>
        </w:rPr>
        <w:t>of</w:t>
      </w:r>
      <w:proofErr w:type="spellEnd"/>
      <w:r>
        <w:rPr>
          <w:rFonts w:eastAsia="Times New Roman"/>
        </w:rPr>
        <w:t xml:space="preserve"> Technology in </w:t>
      </w:r>
      <w:r>
        <w:t xml:space="preserve">Altersgruppe 20- bis 44-Jährige </w:t>
      </w:r>
      <w:r>
        <w:rPr>
          <w:rFonts w:eastAsia="Times New Roman"/>
        </w:rPr>
        <w:sym w:font="Wingdings" w:char="F0E0"/>
      </w:r>
      <w:r>
        <w:rPr>
          <w:rFonts w:eastAsia="Times New Roman"/>
        </w:rPr>
        <w:t xml:space="preserve"> Häufung wird derzeit untersucht und Kontrollmaßnahmen durchgeführt. Es liegen bislang keine Informationen zu schwere der Infektionen oder Impfdurchbrüchen vor. Die Impfquote in Südafrika ist niedrig (23% vollständig geimpft).</w:t>
      </w:r>
    </w:p>
    <w:p>
      <w:pPr>
        <w:pStyle w:val="NurText"/>
        <w:numPr>
          <w:ilvl w:val="0"/>
          <w:numId w:val="21"/>
        </w:numPr>
        <w:spacing w:line="276" w:lineRule="auto"/>
        <w:rPr>
          <w:rFonts w:eastAsia="Times New Roman"/>
        </w:rPr>
      </w:pPr>
      <w:r>
        <w:rPr>
          <w:rFonts w:eastAsia="Times New Roman"/>
        </w:rPr>
        <w:t>Altersverteilung: höchste wöchentliche Inzidenz (KW46) in Altersgruppe 20- bis 24-Jährige (9,7 Fälle pro 100 000 Personen), niedrigste wöchentliche Inzidenz in Altersgruppe 0- bis 4-Jährige (1,4 Fälle pro 100 000 Personen)</w:t>
      </w:r>
    </w:p>
    <w:p>
      <w:pPr>
        <w:spacing w:after="0"/>
        <w:jc w:val="center"/>
      </w:pPr>
      <w:r>
        <w:rPr>
          <w:noProof/>
        </w:rPr>
        <w:lastRenderedPageBreak/>
        <w:drawing>
          <wp:inline distT="0" distB="0" distL="0" distR="0">
            <wp:extent cx="5298012" cy="30537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1513" cy="3061497"/>
                    </a:xfrm>
                    <a:prstGeom prst="rect">
                      <a:avLst/>
                    </a:prstGeom>
                  </pic:spPr>
                </pic:pic>
              </a:graphicData>
            </a:graphic>
          </wp:inline>
        </w:drawing>
      </w:r>
    </w:p>
    <w:p>
      <w:pPr>
        <w:spacing w:after="0"/>
      </w:pPr>
    </w:p>
    <w:p>
      <w:pPr>
        <w:spacing w:after="0"/>
      </w:pPr>
      <w:r>
        <w:rPr>
          <w:sz w:val="19"/>
          <w:szCs w:val="19"/>
        </w:rPr>
        <w:t xml:space="preserve">Abb.1.5.: Entwicklung der Testpositivität in der Provinz </w:t>
      </w:r>
      <w:proofErr w:type="spellStart"/>
      <w:r>
        <w:rPr>
          <w:sz w:val="19"/>
          <w:szCs w:val="19"/>
        </w:rPr>
        <w:t>Gauteng</w:t>
      </w:r>
      <w:proofErr w:type="spellEnd"/>
      <w:r>
        <w:rPr>
          <w:sz w:val="19"/>
          <w:szCs w:val="19"/>
        </w:rPr>
        <w:t xml:space="preserve"> von KW44-KW46 </w:t>
      </w:r>
      <w:r>
        <w:rPr>
          <w:i/>
          <w:sz w:val="19"/>
          <w:szCs w:val="19"/>
        </w:rPr>
        <w:t>(Pressebriefing Südafrika Datenstand 25.11.2021)</w:t>
      </w:r>
    </w:p>
    <w:p>
      <w:pPr>
        <w:spacing w:after="0"/>
        <w:jc w:val="both"/>
        <w:rPr>
          <w:sz w:val="24"/>
          <w:highlight w:val="yellow"/>
        </w:rPr>
      </w:pPr>
    </w:p>
    <w:p>
      <w:pPr>
        <w:pStyle w:val="berschrift2"/>
      </w:pPr>
      <w:bookmarkStart w:id="10" w:name="_Toc88811128"/>
      <w:r>
        <w:t xml:space="preserve">Die </w:t>
      </w:r>
      <w:bookmarkStart w:id="11" w:name="_Hlk60043296"/>
      <w:r>
        <w:t>neue Virusvariante B.1.1.529 in Südafrika</w:t>
      </w:r>
      <w:bookmarkEnd w:id="10"/>
      <w:bookmarkEnd w:id="11"/>
    </w:p>
    <w:p>
      <w:pPr>
        <w:pStyle w:val="Listenabsatz"/>
        <w:numPr>
          <w:ilvl w:val="0"/>
          <w:numId w:val="21"/>
        </w:numPr>
        <w:spacing w:after="0"/>
        <w:jc w:val="both"/>
      </w:pPr>
      <w:r>
        <w:t xml:space="preserve">Ersten Informationen zu der Variante B.1.1.529 wurden auf einer Pressekonferenz des südafrikanischen </w:t>
      </w:r>
      <w:proofErr w:type="spellStart"/>
      <w:r>
        <w:t>MoH</w:t>
      </w:r>
      <w:proofErr w:type="spellEnd"/>
      <w:r>
        <w:t xml:space="preserve"> durch Vertreter des südafrikanischen NG-SA (Networks für </w:t>
      </w:r>
      <w:proofErr w:type="spellStart"/>
      <w:r>
        <w:t>Genomsurveillance</w:t>
      </w:r>
      <w:proofErr w:type="spellEnd"/>
      <w:r>
        <w:t xml:space="preserve"> South </w:t>
      </w:r>
      <w:proofErr w:type="spellStart"/>
      <w:r>
        <w:t>Africa</w:t>
      </w:r>
      <w:proofErr w:type="spellEnd"/>
      <w:r>
        <w:t xml:space="preserve">) am 24.11. 21 bekannt gegeben. Demnach wurde die zunehmende Zirkulation der Variante in der Provinz </w:t>
      </w:r>
      <w:proofErr w:type="spellStart"/>
      <w:r>
        <w:t>Gauteng</w:t>
      </w:r>
      <w:proofErr w:type="spellEnd"/>
      <w:r>
        <w:t xml:space="preserve"> am 23.11.21 erkannt. Phylogenetische Untersuchungen zeigen, dass sich B.1.1.529 unabhängig von den früher dominierenden besorgniserregenden Varianten Beta und Delta entwickelt haben muss. Die </w:t>
      </w:r>
      <w:proofErr w:type="spellStart"/>
      <w:r>
        <w:t>Pangolin</w:t>
      </w:r>
      <w:proofErr w:type="spellEnd"/>
      <w:r>
        <w:t>-Nomenklatur weist für das Spike Protein ein einzigartiges Profil mit folgenden Aminosäure-Änderungen aus (</w:t>
      </w:r>
      <w:hyperlink r:id="rId13" w:history="1">
        <w:r>
          <w:rPr>
            <w:rStyle w:val="Hyperlink"/>
          </w:rPr>
          <w:t>https://github.com/cov-lineages/pango-designation/issues/343</w:t>
        </w:r>
      </w:hyperlink>
      <w:r>
        <w:t>; Abb. 1.6)</w:t>
      </w:r>
    </w:p>
    <w:p>
      <w:pPr>
        <w:pStyle w:val="Listenabsatz"/>
        <w:numPr>
          <w:ilvl w:val="0"/>
          <w:numId w:val="21"/>
        </w:numPr>
        <w:spacing w:after="0"/>
        <w:jc w:val="both"/>
      </w:pPr>
      <w:r>
        <w:t xml:space="preserve">Einordnung und vorläufige Bezeichnung: </w:t>
      </w:r>
      <w:proofErr w:type="spellStart"/>
      <w:r>
        <w:t>Pango</w:t>
      </w:r>
      <w:proofErr w:type="spellEnd"/>
      <w:r>
        <w:t xml:space="preserve"> Linie B.1.1.529, </w:t>
      </w:r>
      <w:proofErr w:type="spellStart"/>
      <w:r>
        <w:t>Nextstrain</w:t>
      </w:r>
      <w:proofErr w:type="spellEnd"/>
      <w:r>
        <w:t xml:space="preserve"> </w:t>
      </w:r>
      <w:proofErr w:type="spellStart"/>
      <w:r>
        <w:t>Clade</w:t>
      </w:r>
      <w:proofErr w:type="spellEnd"/>
      <w:r>
        <w:t xml:space="preserve"> 20B</w:t>
      </w:r>
    </w:p>
    <w:p>
      <w:pPr>
        <w:pStyle w:val="Listenabsatz"/>
        <w:numPr>
          <w:ilvl w:val="0"/>
          <w:numId w:val="21"/>
        </w:numPr>
        <w:spacing w:after="0"/>
        <w:jc w:val="both"/>
      </w:pPr>
      <w:r>
        <w:t xml:space="preserve">Variante erstmals in Botswana detektiert (Probe vom 11.12.2021) und kommt, nach derzeitigem Erkenntnisstand, fast ausschließlich in Südafrika, in der Provinz </w:t>
      </w:r>
      <w:proofErr w:type="spellStart"/>
      <w:r>
        <w:t>Gauteng</w:t>
      </w:r>
      <w:proofErr w:type="spellEnd"/>
      <w:r>
        <w:t xml:space="preserve">, vor </w:t>
      </w:r>
    </w:p>
    <w:p>
      <w:pPr>
        <w:pStyle w:val="Listenabsatz"/>
        <w:numPr>
          <w:ilvl w:val="0"/>
          <w:numId w:val="21"/>
        </w:numPr>
        <w:spacing w:after="0"/>
        <w:jc w:val="both"/>
      </w:pPr>
      <w:r>
        <w:t>Anzahl an B.1.1.529 Sequenzen in Patientenproben aus dem Zeitraum 12.11.-20.11.2021: Südafrika (n = 77), Botsuana (n = 4) und Hong Kong (n = 1, Reisender aus Südafrika)</w:t>
      </w:r>
    </w:p>
    <w:p>
      <w:pPr>
        <w:pStyle w:val="Listenabsatz"/>
        <w:numPr>
          <w:ilvl w:val="0"/>
          <w:numId w:val="21"/>
        </w:numPr>
        <w:spacing w:after="0"/>
        <w:jc w:val="both"/>
      </w:pPr>
      <w:r>
        <w:t xml:space="preserve">Hohe Anzahl und ungewöhnliche Konstellation von Mutationen im Spike Protein (Abb. 1.6), darunter solche mit bekanntem phänotypischem Einfluss (Erhöhung der Transmission, Immunevasion) aber auch viele Mutationen, die bisher kaum beobachtet und virologisch charakterisiert wurden </w:t>
      </w:r>
      <w:r>
        <w:sym w:font="Wingdings" w:char="F0E0"/>
      </w:r>
      <w:r>
        <w:t xml:space="preserve"> Befürchtungen, dass diese </w:t>
      </w:r>
      <w:r>
        <w:rPr>
          <w:sz w:val="24"/>
        </w:rPr>
        <w:t xml:space="preserve">zu </w:t>
      </w:r>
      <w:r>
        <w:t xml:space="preserve">signifikanten Veränderung der Eigenschaften </w:t>
      </w:r>
      <w:r>
        <w:rPr>
          <w:sz w:val="20"/>
        </w:rPr>
        <w:t>führen könnten</w:t>
      </w:r>
    </w:p>
    <w:p>
      <w:pPr>
        <w:pStyle w:val="Listenabsatz"/>
        <w:numPr>
          <w:ilvl w:val="0"/>
          <w:numId w:val="21"/>
        </w:numPr>
        <w:spacing w:after="0"/>
        <w:jc w:val="both"/>
      </w:pPr>
      <w:r>
        <w:t>bisher keine virologischen Charakterisierungen durchgeführt</w:t>
      </w:r>
    </w:p>
    <w:p>
      <w:pPr>
        <w:pStyle w:val="Listenabsatz"/>
        <w:numPr>
          <w:ilvl w:val="0"/>
          <w:numId w:val="21"/>
        </w:numPr>
        <w:spacing w:after="0"/>
        <w:jc w:val="both"/>
      </w:pPr>
      <w:r>
        <w:t>bisher keine Hinweise auf veränderte Transmission, Schwere der Infektion oder Umgehung der Immunantwort</w:t>
      </w:r>
    </w:p>
    <w:p>
      <w:pPr>
        <w:pStyle w:val="Listenabsatz"/>
        <w:numPr>
          <w:ilvl w:val="0"/>
          <w:numId w:val="21"/>
        </w:numPr>
        <w:spacing w:after="0"/>
        <w:jc w:val="both"/>
      </w:pPr>
      <w:r>
        <w:t xml:space="preserve">Variante mit diagnostischer Auffälligkeit im verwendeten PCR-Assay </w:t>
      </w:r>
      <w:r>
        <w:sym w:font="Wingdings" w:char="F0E0"/>
      </w:r>
      <w:r>
        <w:t xml:space="preserve"> Ausfall des S-Gen Signals in der diagnostischen PCR </w:t>
      </w:r>
      <w:r>
        <w:sym w:font="Wingdings" w:char="F0E0"/>
      </w:r>
      <w:r>
        <w:t xml:space="preserve"> Proxy für Vorliegen der Variante </w:t>
      </w:r>
      <w:r>
        <w:sym w:font="Wingdings" w:char="F0E0"/>
      </w:r>
      <w:r>
        <w:t xml:space="preserve"> PCR Screening möglich</w:t>
      </w:r>
    </w:p>
    <w:p>
      <w:pPr>
        <w:pStyle w:val="Listenabsatz"/>
        <w:numPr>
          <w:ilvl w:val="0"/>
          <w:numId w:val="21"/>
        </w:numPr>
        <w:spacing w:after="0"/>
        <w:jc w:val="both"/>
      </w:pPr>
      <w:r>
        <w:lastRenderedPageBreak/>
        <w:t xml:space="preserve">Derzeit schnelle Zunahme der S-Gen-Ausfalls in mehreren anderen Provinzen </w:t>
      </w:r>
      <w:r>
        <w:sym w:font="Wingdings" w:char="F0E0"/>
      </w:r>
      <w:r>
        <w:t xml:space="preserve"> B.1.1.529 möglicherweise bereits in anderen Provinzen angekommen (Abb. 1.8)</w:t>
      </w:r>
    </w:p>
    <w:p>
      <w:pPr>
        <w:pStyle w:val="Listenabsatz"/>
        <w:numPr>
          <w:ilvl w:val="0"/>
          <w:numId w:val="21"/>
        </w:numPr>
        <w:spacing w:after="0"/>
        <w:jc w:val="both"/>
      </w:pPr>
      <w:r>
        <w:t>Laut NICD Gesundheitsbehörden der Provinzen weiterhin in höchster Alarmbereitschaft und Sequenzierung von COVID-19-positiven Proben haben Priorität</w:t>
      </w:r>
    </w:p>
    <w:p>
      <w:pPr>
        <w:pStyle w:val="Listenabsatz"/>
        <w:numPr>
          <w:ilvl w:val="0"/>
          <w:numId w:val="21"/>
        </w:numPr>
        <w:spacing w:after="0"/>
        <w:jc w:val="both"/>
      </w:pPr>
      <w:r>
        <w:t xml:space="preserve">Stellungnahme ECDC im </w:t>
      </w:r>
      <w:proofErr w:type="gramStart"/>
      <w:r>
        <w:t>Round Table</w:t>
      </w:r>
      <w:proofErr w:type="gramEnd"/>
      <w:r>
        <w:t xml:space="preserve"> Report vom 25.11.2021: aufgrund geringer Anzahl an Sequenzen, gemeldet aus Botswana und Südafrika, kann eine Übertragung durch die Gemeinschaft in diesen Ländern nicht ausgeschlossen werden, ECDC beobachtet Situation und wird Variante bewerten, sobald neue Erkenntnisse vorliegen.</w:t>
      </w:r>
    </w:p>
    <w:p>
      <w:pPr>
        <w:pStyle w:val="Listenabsatz"/>
        <w:numPr>
          <w:ilvl w:val="0"/>
          <w:numId w:val="21"/>
        </w:numPr>
        <w:spacing w:after="0"/>
        <w:jc w:val="both"/>
        <w:rPr>
          <w:sz w:val="24"/>
        </w:rPr>
      </w:pPr>
      <w:r>
        <w:t>Nach bisheriger Erkenntnis bislang kein Nachweis von B.1.1.529 in Europa</w:t>
      </w:r>
    </w:p>
    <w:p>
      <w:pPr>
        <w:spacing w:after="0"/>
        <w:ind w:left="360"/>
        <w:jc w:val="both"/>
        <w:rPr>
          <w:sz w:val="24"/>
        </w:rPr>
      </w:pPr>
    </w:p>
    <w:p>
      <w:pPr>
        <w:spacing w:after="0"/>
        <w:ind w:left="360"/>
        <w:jc w:val="both"/>
      </w:pPr>
      <w:r>
        <w:t>Einschätzung des genomischen Profils:</w:t>
      </w:r>
    </w:p>
    <w:p>
      <w:pPr>
        <w:spacing w:after="0"/>
        <w:ind w:left="360"/>
        <w:jc w:val="both"/>
        <w:rPr>
          <w:sz w:val="24"/>
        </w:rPr>
      </w:pPr>
      <w:r>
        <w:br/>
        <w:t xml:space="preserve">• Insgesamt sind 9 Mutationen innerhalb des Spike Proteins aus anderen VOCs bekannt (konvergente Entwicklungen). </w:t>
      </w:r>
      <w:r>
        <w:br/>
        <w:t xml:space="preserve">• Multiple Mutationen innerhalb der N-terminalen Domäne und Rezeptorbindedomäne des Spike Proteins sind mit Resistenz gegenüber neutralisierenden und therapeutischen monoklonalen Antikörpern (z.B. 4 Mutation nahe der Bindestelle von </w:t>
      </w:r>
      <w:proofErr w:type="spellStart"/>
      <w:r>
        <w:t>Sotrovimab</w:t>
      </w:r>
      <w:proofErr w:type="spellEnd"/>
      <w:r>
        <w:t>-Antikörper) assoziiert</w:t>
      </w:r>
      <w:r>
        <w:br/>
        <w:t xml:space="preserve">• Ein Mutationscluster neben der </w:t>
      </w:r>
      <w:proofErr w:type="spellStart"/>
      <w:r>
        <w:t>Furinspaltungsstelle</w:t>
      </w:r>
      <w:proofErr w:type="spellEnd"/>
      <w:r>
        <w:t xml:space="preserve"> (H655Y + N679K + P681H) ist mit verbesserter Wirtszellpenetration und erhöhter </w:t>
      </w:r>
      <w:proofErr w:type="spellStart"/>
      <w:r>
        <w:t>Transmissibilität</w:t>
      </w:r>
      <w:proofErr w:type="spellEnd"/>
      <w:r>
        <w:t xml:space="preserve"> assoziiert</w:t>
      </w:r>
      <w:r>
        <w:br/>
        <w:t xml:space="preserve">• Zwei Mutationen im </w:t>
      </w:r>
      <w:proofErr w:type="spellStart"/>
      <w:r>
        <w:t>Nukleokapsid</w:t>
      </w:r>
      <w:proofErr w:type="spellEnd"/>
      <w:r>
        <w:t xml:space="preserve"> (R203K + G204R), die ebenso in Alpha, Gamma und Lambda gefunden werden, sind mit erhöhter Infektiosität assoziiert</w:t>
      </w:r>
      <w:r>
        <w:br/>
        <w:t xml:space="preserve">• Die nsp6 Deletion (ähnlich auch in Alpha, Beta, Gamma, Lambda) wird diskutiert, Schutz vor angeborene Immunität (Interferon Antagonismus) und erhöhte </w:t>
      </w:r>
      <w:proofErr w:type="spellStart"/>
      <w:r>
        <w:t>Transmissibilität</w:t>
      </w:r>
      <w:proofErr w:type="spellEnd"/>
      <w:r>
        <w:t xml:space="preserve"> zu vermitteln</w:t>
      </w:r>
      <w:r>
        <w:br/>
        <w:t>• Für die Einschätzung von 11 seltene oder unbekannte Mutationen innerhalb des Spike Proteins sind derzeit nicht ausreichend Daten vorhanden</w:t>
      </w:r>
    </w:p>
    <w:p>
      <w:pPr>
        <w:spacing w:after="0"/>
        <w:ind w:left="360"/>
        <w:jc w:val="both"/>
        <w:rPr>
          <w:sz w:val="24"/>
        </w:rPr>
      </w:pPr>
    </w:p>
    <w:p>
      <w:pPr>
        <w:spacing w:after="0"/>
        <w:ind w:left="360"/>
        <w:jc w:val="both"/>
        <w:rPr>
          <w:sz w:val="24"/>
        </w:rPr>
      </w:pPr>
      <w:r>
        <w:rPr>
          <w:noProof/>
        </w:rPr>
        <w:drawing>
          <wp:inline distT="0" distB="0" distL="0" distR="0">
            <wp:extent cx="5760720" cy="157670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576705"/>
                    </a:xfrm>
                    <a:prstGeom prst="rect">
                      <a:avLst/>
                    </a:prstGeom>
                  </pic:spPr>
                </pic:pic>
              </a:graphicData>
            </a:graphic>
          </wp:inline>
        </w:drawing>
      </w:r>
    </w:p>
    <w:p>
      <w:pPr>
        <w:spacing w:after="0"/>
      </w:pPr>
      <w:r>
        <w:rPr>
          <w:sz w:val="19"/>
          <w:szCs w:val="19"/>
        </w:rPr>
        <w:t xml:space="preserve">Abb.1.6.: Mutationsprofil von B.1.1.529:  A67V, &amp;Delta;69-70, T95I, G142D, &amp;Delta;143-145, &amp;Delta;211-212, ins214EPE, G339D, S371L, S373P, S375F, K417N, N440K, G446S, S477N, T478K, E484A, Q493K, G496S, Q498R, N501Y, Y505H, T547K, D614G, H655Y, N679K, P681H, N764K, D796Y, N856K, Q954H, N969K, L981F </w:t>
      </w:r>
      <w:r>
        <w:rPr>
          <w:i/>
          <w:sz w:val="19"/>
          <w:szCs w:val="19"/>
        </w:rPr>
        <w:t>(Pressebriefing Südafrika Datenstand 25.11.2021)</w:t>
      </w:r>
    </w:p>
    <w:p>
      <w:pPr>
        <w:spacing w:after="0"/>
        <w:jc w:val="both"/>
        <w:rPr>
          <w:sz w:val="24"/>
        </w:rPr>
      </w:pPr>
    </w:p>
    <w:p>
      <w:pPr>
        <w:spacing w:after="0"/>
        <w:jc w:val="center"/>
        <w:rPr>
          <w:sz w:val="24"/>
        </w:rPr>
      </w:pPr>
      <w:r>
        <w:rPr>
          <w:rFonts w:cstheme="minorHAnsi"/>
          <w:noProof/>
          <w:lang w:val="en-US"/>
        </w:rPr>
        <w:lastRenderedPageBreak/>
        <w:drawing>
          <wp:inline distT="0" distB="0" distL="0" distR="0">
            <wp:extent cx="4018632" cy="2053228"/>
            <wp:effectExtent l="0" t="0" r="127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032" b="8105"/>
                    <a:stretch/>
                  </pic:blipFill>
                  <pic:spPr bwMode="auto">
                    <a:xfrm>
                      <a:off x="0" y="0"/>
                      <a:ext cx="4026125" cy="2057057"/>
                    </a:xfrm>
                    <a:prstGeom prst="rect">
                      <a:avLst/>
                    </a:prstGeom>
                    <a:ln>
                      <a:noFill/>
                    </a:ln>
                    <a:extLst>
                      <a:ext uri="{53640926-AAD7-44D8-BBD7-CCE9431645EC}">
                        <a14:shadowObscured xmlns:a14="http://schemas.microsoft.com/office/drawing/2010/main"/>
                      </a:ext>
                    </a:extLst>
                  </pic:spPr>
                </pic:pic>
              </a:graphicData>
            </a:graphic>
          </wp:inline>
        </w:drawing>
      </w:r>
    </w:p>
    <w:p>
      <w:pPr>
        <w:spacing w:after="0"/>
      </w:pPr>
      <w:r>
        <w:rPr>
          <w:sz w:val="19"/>
          <w:szCs w:val="19"/>
        </w:rPr>
        <w:t xml:space="preserve">Abb.1.7.: Nachweis von B.1.1.529 (blaue Punkte) in der Provinz </w:t>
      </w:r>
      <w:proofErr w:type="spellStart"/>
      <w:r>
        <w:rPr>
          <w:sz w:val="19"/>
          <w:szCs w:val="19"/>
        </w:rPr>
        <w:t>Gauteng</w:t>
      </w:r>
      <w:proofErr w:type="spellEnd"/>
      <w:r>
        <w:rPr>
          <w:sz w:val="19"/>
          <w:szCs w:val="19"/>
        </w:rPr>
        <w:t xml:space="preserve">. Whole </w:t>
      </w:r>
      <w:proofErr w:type="spellStart"/>
      <w:r>
        <w:rPr>
          <w:sz w:val="19"/>
          <w:szCs w:val="19"/>
        </w:rPr>
        <w:t>genome</w:t>
      </w:r>
      <w:proofErr w:type="spellEnd"/>
      <w:r>
        <w:rPr>
          <w:sz w:val="19"/>
          <w:szCs w:val="19"/>
        </w:rPr>
        <w:t xml:space="preserve"> </w:t>
      </w:r>
      <w:proofErr w:type="spellStart"/>
      <w:r>
        <w:rPr>
          <w:sz w:val="19"/>
          <w:szCs w:val="19"/>
        </w:rPr>
        <w:t>sequencing</w:t>
      </w:r>
      <w:proofErr w:type="spellEnd"/>
      <w:r>
        <w:rPr>
          <w:sz w:val="19"/>
          <w:szCs w:val="19"/>
        </w:rPr>
        <w:t xml:space="preserve"> derzeit auf </w:t>
      </w:r>
      <w:proofErr w:type="spellStart"/>
      <w:r>
        <w:rPr>
          <w:sz w:val="19"/>
          <w:szCs w:val="19"/>
        </w:rPr>
        <w:t>Gauteng</w:t>
      </w:r>
      <w:proofErr w:type="spellEnd"/>
      <w:r>
        <w:rPr>
          <w:sz w:val="19"/>
          <w:szCs w:val="19"/>
        </w:rPr>
        <w:t xml:space="preserve"> fokussiert </w:t>
      </w:r>
      <w:r>
        <w:rPr>
          <w:i/>
          <w:sz w:val="19"/>
          <w:szCs w:val="19"/>
        </w:rPr>
        <w:t>(Pressebriefing Südafrika Datenstand 25.11.2021)</w:t>
      </w:r>
    </w:p>
    <w:p>
      <w:pPr>
        <w:spacing w:after="0"/>
        <w:jc w:val="both"/>
        <w:rPr>
          <w:sz w:val="24"/>
        </w:rPr>
      </w:pPr>
    </w:p>
    <w:p>
      <w:pPr>
        <w:spacing w:after="0"/>
        <w:jc w:val="center"/>
        <w:rPr>
          <w:sz w:val="24"/>
        </w:rPr>
      </w:pPr>
      <w:r>
        <w:rPr>
          <w:noProof/>
        </w:rPr>
        <w:drawing>
          <wp:inline distT="0" distB="0" distL="0" distR="0">
            <wp:extent cx="4244340" cy="2354224"/>
            <wp:effectExtent l="0" t="0" r="381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55923" cy="2360649"/>
                    </a:xfrm>
                    <a:prstGeom prst="rect">
                      <a:avLst/>
                    </a:prstGeom>
                  </pic:spPr>
                </pic:pic>
              </a:graphicData>
            </a:graphic>
          </wp:inline>
        </w:drawing>
      </w:r>
    </w:p>
    <w:p>
      <w:pPr>
        <w:spacing w:after="0"/>
      </w:pPr>
      <w:r>
        <w:rPr>
          <w:sz w:val="19"/>
          <w:szCs w:val="19"/>
        </w:rPr>
        <w:t xml:space="preserve">Abb.1.8.: Häufung von Ausfällen des S-Gen in der </w:t>
      </w:r>
      <w:proofErr w:type="gramStart"/>
      <w:r>
        <w:rPr>
          <w:sz w:val="19"/>
          <w:szCs w:val="19"/>
        </w:rPr>
        <w:t>PCR  in</w:t>
      </w:r>
      <w:proofErr w:type="gramEnd"/>
      <w:r>
        <w:rPr>
          <w:sz w:val="19"/>
          <w:szCs w:val="19"/>
        </w:rPr>
        <w:t xml:space="preserve"> den letzten Tagen in mehreren Provinzen. Dort aber insgesamt bislang sehr wenig SARS-CoV-2 Isolate </w:t>
      </w:r>
      <w:r>
        <w:rPr>
          <w:i/>
          <w:sz w:val="19"/>
          <w:szCs w:val="19"/>
        </w:rPr>
        <w:t>(Pressebriefing Südafrika Datenstand 25.11.2021)</w:t>
      </w:r>
    </w:p>
    <w:p>
      <w:pPr>
        <w:spacing w:after="0"/>
        <w:jc w:val="both"/>
        <w:rPr>
          <w:sz w:val="24"/>
        </w:rPr>
      </w:pPr>
    </w:p>
    <w:p>
      <w:pPr>
        <w:pStyle w:val="berschrift2"/>
      </w:pPr>
      <w:bookmarkStart w:id="12" w:name="_Toc88811129"/>
      <w:r>
        <w:t>Internationale Maßnahmen</w:t>
      </w:r>
      <w:bookmarkEnd w:id="12"/>
    </w:p>
    <w:p>
      <w:pPr>
        <w:rPr>
          <w:b/>
        </w:rPr>
      </w:pPr>
    </w:p>
    <w:p>
      <w:pPr>
        <w:rPr>
          <w:b/>
        </w:rPr>
      </w:pPr>
      <w:r>
        <w:rPr>
          <w:b/>
        </w:rPr>
        <w:t>Vereinigtes Königreich</w:t>
      </w:r>
    </w:p>
    <w:p>
      <w:pPr>
        <w:jc w:val="both"/>
      </w:pPr>
      <w:r>
        <w:t xml:space="preserve">Am 26.11.2021 um 12:00 Uhr werden Südafrika, Namibia, Lesotho, Botswana, </w:t>
      </w:r>
      <w:proofErr w:type="spellStart"/>
      <w:r>
        <w:t>Eswatini</w:t>
      </w:r>
      <w:proofErr w:type="spellEnd"/>
      <w:r>
        <w:t xml:space="preserve"> und Zimbabwe auf die „</w:t>
      </w:r>
      <w:proofErr w:type="spellStart"/>
      <w:r>
        <w:t>travel</w:t>
      </w:r>
      <w:proofErr w:type="spellEnd"/>
      <w:r>
        <w:t xml:space="preserve"> </w:t>
      </w:r>
      <w:proofErr w:type="spellStart"/>
      <w:r>
        <w:t>red</w:t>
      </w:r>
      <w:proofErr w:type="spellEnd"/>
      <w:r>
        <w:t xml:space="preserve"> </w:t>
      </w:r>
      <w:proofErr w:type="spellStart"/>
      <w:r>
        <w:t>list</w:t>
      </w:r>
      <w:proofErr w:type="spellEnd"/>
      <w:r>
        <w:t>“ gesetzt. Die Einreise aus „</w:t>
      </w:r>
      <w:proofErr w:type="spellStart"/>
      <w:r>
        <w:t>red</w:t>
      </w:r>
      <w:proofErr w:type="spellEnd"/>
      <w:r>
        <w:t xml:space="preserve"> </w:t>
      </w:r>
      <w:proofErr w:type="spellStart"/>
      <w:r>
        <w:t>list</w:t>
      </w:r>
      <w:proofErr w:type="spellEnd"/>
      <w:r>
        <w:t xml:space="preserve"> countries“ ist ausschließlich nach Einhaltung einer 10-tägigen Quarantäne und beim Vorliegen zwei negativer PCR-Tests möglich, unabhängig vom Impfstatus.</w:t>
      </w:r>
    </w:p>
    <w:p>
      <w:pPr>
        <w:jc w:val="both"/>
      </w:pPr>
    </w:p>
    <w:p>
      <w:pPr>
        <w:jc w:val="both"/>
        <w:rPr>
          <w:b/>
        </w:rPr>
      </w:pPr>
      <w:r>
        <w:rPr>
          <w:b/>
        </w:rPr>
        <w:t>Israel</w:t>
      </w:r>
    </w:p>
    <w:p>
      <w:pPr>
        <w:jc w:val="both"/>
      </w:pPr>
      <w:r>
        <w:t xml:space="preserve">Am 25.11.2021 wurden Südafrika, Namibia, Lesotho, Botswana, </w:t>
      </w:r>
      <w:proofErr w:type="spellStart"/>
      <w:r>
        <w:t>Eswatini</w:t>
      </w:r>
      <w:proofErr w:type="spellEnd"/>
      <w:r>
        <w:t>, Zimbabwe und Mosambik auf die „</w:t>
      </w:r>
      <w:proofErr w:type="spellStart"/>
      <w:r>
        <w:t>red</w:t>
      </w:r>
      <w:proofErr w:type="spellEnd"/>
      <w:r>
        <w:t xml:space="preserve"> </w:t>
      </w:r>
      <w:proofErr w:type="spellStart"/>
      <w:r>
        <w:t>list</w:t>
      </w:r>
      <w:proofErr w:type="spellEnd"/>
      <w:r>
        <w:t>“ gesetzt. Die Einreise aus „</w:t>
      </w:r>
      <w:proofErr w:type="spellStart"/>
      <w:r>
        <w:t>red</w:t>
      </w:r>
      <w:proofErr w:type="spellEnd"/>
      <w:r>
        <w:t xml:space="preserve"> </w:t>
      </w:r>
      <w:proofErr w:type="spellStart"/>
      <w:r>
        <w:t>list</w:t>
      </w:r>
      <w:proofErr w:type="spellEnd"/>
      <w:r>
        <w:t xml:space="preserve"> countries“ ist nach Einhaltung einer 7-tägigen Quarantäne und beim Vorliegen zwei negativer PCR-Tests möglich sein, unabhängig vom Impfstatus.</w:t>
      </w:r>
    </w:p>
    <w:p>
      <w:pPr>
        <w:jc w:val="both"/>
      </w:pPr>
      <w:r>
        <w:lastRenderedPageBreak/>
        <w:t>Am 26.11.2021 wurde die Variante B.1.1.529 bei einem geimpften Reiserückkehrer aus Malawi nachgewiesen. Proben von zwei weiteren geimpften mit gleicher Reiseanamnese werden derzeit untersucht.</w:t>
      </w:r>
    </w:p>
    <w:p>
      <w:pPr>
        <w:jc w:val="both"/>
      </w:pPr>
    </w:p>
    <w:p>
      <w:pPr>
        <w:jc w:val="both"/>
        <w:rPr>
          <w:b/>
        </w:rPr>
      </w:pPr>
      <w:r>
        <w:rPr>
          <w:b/>
        </w:rPr>
        <w:t>Europäische Kommission</w:t>
      </w:r>
    </w:p>
    <w:p>
      <w:pPr>
        <w:jc w:val="both"/>
      </w:pPr>
      <w:r>
        <w:t>Am 26.11.2021 hat die Europäische Kommission die Beschränkung des Flugverkehrs mit Südafrika vorgeschlagen, um die Verbreitung der neu identifizierten SARS-CoV-2-Variante zu vermeiden.</w:t>
      </w:r>
    </w:p>
    <w:p/>
    <w:p/>
    <w:p/>
    <w:p>
      <w:pPr>
        <w:pStyle w:val="berschrift2"/>
      </w:pPr>
      <w:bookmarkStart w:id="13" w:name="_Toc88811130"/>
      <w:r>
        <w:t>Zeitlicher Ablauf</w:t>
      </w:r>
      <w:bookmarkEnd w:id="13"/>
    </w:p>
    <w:p>
      <w:pPr>
        <w:pStyle w:val="Listenabsatz"/>
        <w:numPr>
          <w:ilvl w:val="0"/>
          <w:numId w:val="21"/>
        </w:numPr>
        <w:spacing w:after="0"/>
        <w:jc w:val="both"/>
      </w:pPr>
      <w:r>
        <w:t xml:space="preserve">Dienstag, 23.11.2021 Identifizierung neuer SARS-CoV-2-Variante, durch routinemäßige genomische Surveillance von SARSCoV-2 durch private Labors und Netzwerk von Laboren im ganzen Land (Network </w:t>
      </w:r>
      <w:proofErr w:type="spellStart"/>
      <w:r>
        <w:t>for</w:t>
      </w:r>
      <w:proofErr w:type="spellEnd"/>
      <w:r>
        <w:t xml:space="preserve"> </w:t>
      </w:r>
      <w:proofErr w:type="spellStart"/>
      <w:r>
        <w:t>Genomic</w:t>
      </w:r>
      <w:proofErr w:type="spellEnd"/>
      <w:r>
        <w:t xml:space="preserve"> Surveillance, NGS-SA) </w:t>
      </w:r>
    </w:p>
    <w:p>
      <w:pPr>
        <w:pStyle w:val="Listenabsatz"/>
        <w:numPr>
          <w:ilvl w:val="0"/>
          <w:numId w:val="21"/>
        </w:numPr>
        <w:spacing w:after="0"/>
        <w:jc w:val="both"/>
        <w:rPr>
          <w:lang w:val="en-US"/>
        </w:rPr>
      </w:pPr>
      <w:r>
        <w:t>Seit</w:t>
      </w:r>
      <w:r>
        <w:rPr>
          <w:lang w:val="en-US"/>
        </w:rPr>
        <w:t xml:space="preserve"> 24.11.</w:t>
      </w:r>
      <w:r>
        <w:t>2021 führt WHO B.1.1.529 als</w:t>
      </w:r>
      <w:r>
        <w:rPr>
          <w:lang w:val="en-US"/>
        </w:rPr>
        <w:t xml:space="preserve"> „Variant under Monitoring (VUM)”</w:t>
      </w:r>
    </w:p>
    <w:p>
      <w:pPr>
        <w:pStyle w:val="Listenabsatz"/>
        <w:numPr>
          <w:ilvl w:val="0"/>
          <w:numId w:val="21"/>
        </w:numPr>
        <w:spacing w:after="0"/>
        <w:jc w:val="both"/>
      </w:pPr>
      <w:r>
        <w:t>Donnerstag 25.11.2021 öffentliche Bekanntgabe</w:t>
      </w:r>
    </w:p>
    <w:p>
      <w:pPr>
        <w:pStyle w:val="Listenabsatz"/>
        <w:numPr>
          <w:ilvl w:val="0"/>
          <w:numId w:val="21"/>
        </w:numPr>
        <w:spacing w:after="0"/>
        <w:jc w:val="both"/>
      </w:pPr>
      <w:r>
        <w:rPr>
          <w:rFonts w:cstheme="minorHAnsi"/>
        </w:rPr>
        <w:t xml:space="preserve">Freitag, 26.11.2021: </w:t>
      </w:r>
      <w:r>
        <w:t xml:space="preserve">Gemeinsame Sitzung von “WHO </w:t>
      </w:r>
      <w:proofErr w:type="spellStart"/>
      <w:r>
        <w:rPr>
          <w:rFonts w:cstheme="minorHAnsi"/>
        </w:rPr>
        <w:t>technical</w:t>
      </w:r>
      <w:proofErr w:type="spellEnd"/>
      <w:r>
        <w:rPr>
          <w:rFonts w:cstheme="minorHAnsi"/>
        </w:rPr>
        <w:t xml:space="preserve"> </w:t>
      </w:r>
      <w:proofErr w:type="spellStart"/>
      <w:r>
        <w:rPr>
          <w:rFonts w:cstheme="minorHAnsi"/>
        </w:rPr>
        <w:t>working</w:t>
      </w:r>
      <w:proofErr w:type="spellEnd"/>
      <w:r>
        <w:rPr>
          <w:rFonts w:cstheme="minorHAnsi"/>
        </w:rPr>
        <w:t xml:space="preserve"> </w:t>
      </w:r>
      <w:proofErr w:type="spellStart"/>
      <w:r>
        <w:rPr>
          <w:rFonts w:cstheme="minorHAnsi"/>
        </w:rPr>
        <w:t>group</w:t>
      </w:r>
      <w:proofErr w:type="spellEnd"/>
      <w:r>
        <w:rPr>
          <w:rFonts w:cstheme="minorHAnsi"/>
        </w:rPr>
        <w:t xml:space="preserve"> on </w:t>
      </w:r>
      <w:proofErr w:type="spellStart"/>
      <w:r>
        <w:rPr>
          <w:rFonts w:cstheme="minorHAnsi"/>
        </w:rPr>
        <w:t>virus</w:t>
      </w:r>
      <w:proofErr w:type="spellEnd"/>
      <w:r>
        <w:rPr>
          <w:rFonts w:cstheme="minorHAnsi"/>
        </w:rPr>
        <w:t xml:space="preserve"> </w:t>
      </w:r>
      <w:proofErr w:type="spellStart"/>
      <w:r>
        <w:rPr>
          <w:rFonts w:cstheme="minorHAnsi"/>
        </w:rPr>
        <w:t>evolution</w:t>
      </w:r>
      <w:proofErr w:type="spellEnd"/>
      <w:r>
        <w:rPr>
          <w:rFonts w:cstheme="minorHAnsi"/>
        </w:rPr>
        <w:t xml:space="preserve">” und Südafrika zu </w:t>
      </w:r>
      <w:r>
        <w:t xml:space="preserve">B.1.1.529  </w:t>
      </w:r>
    </w:p>
    <w:p>
      <w:pPr>
        <w:pStyle w:val="Listenabsatz"/>
        <w:spacing w:after="0"/>
        <w:jc w:val="both"/>
      </w:pPr>
    </w:p>
    <w:p>
      <w:pPr>
        <w:spacing w:after="0"/>
        <w:jc w:val="both"/>
        <w:rPr>
          <w:sz w:val="24"/>
          <w:szCs w:val="24"/>
          <w:highlight w:val="yellow"/>
        </w:rPr>
      </w:pPr>
      <w:bookmarkStart w:id="14" w:name="_Hlk60052146"/>
    </w:p>
    <w:p>
      <w:pPr>
        <w:pStyle w:val="berschrift1"/>
        <w:spacing w:before="0"/>
      </w:pPr>
      <w:bookmarkStart w:id="15" w:name="_Toc88811131"/>
      <w:bookmarkEnd w:id="14"/>
      <w:r>
        <w:t>Quellen</w:t>
      </w:r>
      <w:bookmarkEnd w:id="15"/>
    </w:p>
    <w:p>
      <w:pPr>
        <w:spacing w:after="0"/>
        <w:ind w:left="360"/>
      </w:pPr>
      <w:hyperlink r:id="rId17" w:history="1">
        <w:r>
          <w:rPr>
            <w:rStyle w:val="Hyperlink"/>
          </w:rPr>
          <w:t>https://www.nicd.ac.za/sustained-increase-in-covid-19-cases-2/</w:t>
        </w:r>
      </w:hyperlink>
    </w:p>
    <w:p>
      <w:pPr>
        <w:pStyle w:val="NurText"/>
        <w:spacing w:line="276" w:lineRule="auto"/>
        <w:ind w:left="360"/>
        <w:rPr>
          <w:rFonts w:asciiTheme="minorHAnsi" w:hAnsiTheme="minorHAnsi"/>
          <w:szCs w:val="22"/>
        </w:rPr>
      </w:pPr>
      <w:hyperlink r:id="rId18" w:history="1">
        <w:r>
          <w:rPr>
            <w:rStyle w:val="Hyperlink"/>
            <w:rFonts w:asciiTheme="minorHAnsi" w:hAnsiTheme="minorHAnsi"/>
            <w:szCs w:val="22"/>
          </w:rPr>
          <w:t>https://www.nicd.ac.za/diseases-a-z-index/disease-index-covid-19/surveillance-reports/weekly-epidemiological-brief/</w:t>
        </w:r>
      </w:hyperlink>
      <w:r>
        <w:rPr>
          <w:rFonts w:asciiTheme="minorHAnsi" w:hAnsiTheme="minorHAnsi"/>
          <w:szCs w:val="22"/>
        </w:rPr>
        <w:t xml:space="preserve"> </w:t>
      </w:r>
    </w:p>
    <w:p>
      <w:pPr>
        <w:pStyle w:val="NurText"/>
        <w:spacing w:line="276" w:lineRule="auto"/>
        <w:ind w:left="360"/>
        <w:rPr>
          <w:rFonts w:asciiTheme="minorHAnsi" w:hAnsiTheme="minorHAnsi"/>
          <w:szCs w:val="22"/>
        </w:rPr>
      </w:pPr>
      <w:hyperlink r:id="rId19" w:history="1">
        <w:r>
          <w:rPr>
            <w:rStyle w:val="Hyperlink"/>
            <w:rFonts w:asciiTheme="minorHAnsi" w:hAnsiTheme="minorHAnsi"/>
            <w:szCs w:val="22"/>
          </w:rPr>
          <w:t>https://www.nicd.ac.za/latest-confirmed-cases-of-covid-19-in-south-africa-25-november-2021/</w:t>
        </w:r>
      </w:hyperlink>
    </w:p>
    <w:p>
      <w:pPr>
        <w:spacing w:after="0"/>
        <w:ind w:left="360"/>
        <w:rPr>
          <w:rStyle w:val="Hyperlink"/>
        </w:rPr>
      </w:pPr>
      <w:hyperlink r:id="rId20" w:history="1">
        <w:r>
          <w:rPr>
            <w:rStyle w:val="Hyperlink"/>
          </w:rPr>
          <w:t>https://www.youtube.com/watch?v=Vh4XMueP1zQ</w:t>
        </w:r>
      </w:hyperlink>
    </w:p>
    <w:p>
      <w:pPr>
        <w:spacing w:after="0"/>
        <w:ind w:left="360"/>
        <w:rPr>
          <w:lang w:val="en-US"/>
        </w:rPr>
      </w:pPr>
      <w:r>
        <w:rPr>
          <w:lang w:val="en-US"/>
        </w:rPr>
        <w:t xml:space="preserve">ECDC Round Table Report </w:t>
      </w:r>
      <w:proofErr w:type="spellStart"/>
      <w:r>
        <w:rPr>
          <w:lang w:val="en-US"/>
        </w:rPr>
        <w:t>vom</w:t>
      </w:r>
      <w:proofErr w:type="spellEnd"/>
      <w:r>
        <w:rPr>
          <w:lang w:val="en-US"/>
        </w:rPr>
        <w:t xml:space="preserve"> 25.11.2021</w:t>
      </w:r>
    </w:p>
    <w:p>
      <w:pPr>
        <w:spacing w:after="0"/>
        <w:ind w:left="360"/>
        <w:rPr>
          <w:lang w:val="en-US"/>
        </w:rPr>
      </w:pPr>
      <w:hyperlink r:id="rId21" w:anchor="red-list-of-countries-and-territories" w:history="1">
        <w:r>
          <w:rPr>
            <w:rStyle w:val="Hyperlink"/>
            <w:lang w:val="en-US"/>
          </w:rPr>
          <w:t>https://www.gov.uk/guidance/red-list-of-countries-and-territories#red-list-of-countries-and-territories</w:t>
        </w:r>
      </w:hyperlink>
    </w:p>
    <w:p>
      <w:pPr>
        <w:spacing w:after="0"/>
        <w:ind w:left="360"/>
        <w:rPr>
          <w:lang w:val="en-US"/>
        </w:rPr>
      </w:pPr>
      <w:hyperlink r:id="rId22" w:history="1">
        <w:r>
          <w:rPr>
            <w:rStyle w:val="Hyperlink"/>
            <w:lang w:val="en-US"/>
          </w:rPr>
          <w:t>https://corona.health.gov.il/en/country-status/</w:t>
        </w:r>
      </w:hyperlink>
    </w:p>
    <w:p>
      <w:pPr>
        <w:spacing w:after="0"/>
        <w:ind w:left="360"/>
        <w:rPr>
          <w:lang w:val="en-US"/>
        </w:rPr>
      </w:pPr>
      <w:hyperlink r:id="rId23" w:history="1">
        <w:r>
          <w:rPr>
            <w:rStyle w:val="Hyperlink"/>
            <w:lang w:val="en-US"/>
          </w:rPr>
          <w:t>https://www.theguardian.com/world/2021/nov/25/scientists-call-for-travel-code-red-over-covid-variant-found-in-southern-africa</w:t>
        </w:r>
      </w:hyperlink>
    </w:p>
    <w:p>
      <w:pPr>
        <w:spacing w:after="0"/>
        <w:ind w:left="360"/>
        <w:rPr>
          <w:lang w:val="en-US"/>
        </w:rPr>
      </w:pPr>
      <w:hyperlink r:id="rId24" w:history="1">
        <w:r>
          <w:rPr>
            <w:rStyle w:val="Hyperlink"/>
            <w:lang w:val="en-US"/>
          </w:rPr>
          <w:t>https://www.reuters.com/article/health-coronavirus-safrica-israel/israel-restricts-travel-to-southern-africa-over-new-covid-19-variant-idINL8N2SG57K</w:t>
        </w:r>
      </w:hyperlink>
    </w:p>
    <w:p>
      <w:pPr>
        <w:spacing w:after="0"/>
        <w:ind w:left="360"/>
        <w:rPr>
          <w:lang w:val="en-US"/>
        </w:rPr>
      </w:pPr>
      <w:hyperlink r:id="rId25" w:history="1">
        <w:r>
          <w:rPr>
            <w:rStyle w:val="Hyperlink"/>
            <w:lang w:val="en-US"/>
          </w:rPr>
          <w:t>https://www.timesofisrael.com/israel-detects-first-case-of-new-highly-mutated-covid-19-strain/</w:t>
        </w:r>
      </w:hyperlink>
    </w:p>
    <w:p>
      <w:pPr>
        <w:spacing w:after="0"/>
        <w:ind w:left="360"/>
        <w:rPr>
          <w:lang w:val="en-US"/>
        </w:rPr>
      </w:pPr>
      <w:hyperlink r:id="rId26" w:history="1">
        <w:r>
          <w:rPr>
            <w:rStyle w:val="Hyperlink"/>
            <w:lang w:val="en-US"/>
          </w:rPr>
          <w:t>https://www.ndr.de/nachrichten/info/Corona-News-Ticker-Flugverkehr-mit-Suedafrika-wird-eingeschraenkt,coronaliveticker1420.html</w:t>
        </w:r>
      </w:hyperlink>
    </w:p>
    <w:p>
      <w:pPr>
        <w:spacing w:after="0"/>
        <w:ind w:left="360"/>
        <w:rPr>
          <w:lang w:val="en-US"/>
        </w:rPr>
      </w:pPr>
      <w:r>
        <w:rPr>
          <w:lang w:val="en-US"/>
        </w:rPr>
        <w:t>https://www.politico.eu/article/von-der-leyen-commission-to-propose-southern-africa-travel-shutdown-over-new-coronavirus-variant/</w:t>
      </w:r>
    </w:p>
    <w:sectPr>
      <w:headerReference w:type="default" r:id="rId27"/>
      <w:footerReference w:type="defaul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undesSerif Office">
    <w:altName w:val="Cambria"/>
    <w:charset w:val="00"/>
    <w:family w:val="roman"/>
    <w:pitch w:val="variable"/>
    <w:sig w:usb0="A00000BF" w:usb1="4000206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cala OT">
    <w:panose1 w:val="02010504040101020104"/>
    <w:charset w:val="00"/>
    <w:family w:val="auto"/>
    <w:pitch w:val="variable"/>
    <w:sig w:usb0="A00000EF" w:usb1="5000E05B"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148738"/>
      <w:docPartObj>
        <w:docPartGallery w:val="Page Numbers (Bottom of Page)"/>
        <w:docPartUnique/>
      </w:docPartObj>
    </w:sdtPr>
    <w:sdtContent>
      <w:p>
        <w:pPr>
          <w:pStyle w:val="Fuzeile"/>
          <w:jc w:val="center"/>
        </w:pPr>
        <w:r>
          <w:fldChar w:fldCharType="begin"/>
        </w:r>
        <w:r>
          <w:instrText>PAGE   \* MERGEFORMAT</w:instrText>
        </w:r>
        <w:r>
          <w:fldChar w:fldCharType="separate"/>
        </w:r>
        <w:r>
          <w:t>2</w:t>
        </w:r>
        <w:r>
          <w:fldChar w:fldCharType="end"/>
        </w:r>
      </w:p>
    </w:sdtContent>
  </w:sdt>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p>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8282D"/>
    <w:multiLevelType w:val="hybridMultilevel"/>
    <w:tmpl w:val="BF8AA6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D325FF"/>
    <w:multiLevelType w:val="hybridMultilevel"/>
    <w:tmpl w:val="440A9F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F7150C"/>
    <w:multiLevelType w:val="hybridMultilevel"/>
    <w:tmpl w:val="0E82DCB6"/>
    <w:lvl w:ilvl="0" w:tplc="9998FF2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DF32C7"/>
    <w:multiLevelType w:val="hybridMultilevel"/>
    <w:tmpl w:val="5BC88E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AB7215"/>
    <w:multiLevelType w:val="hybridMultilevel"/>
    <w:tmpl w:val="EC10A20A"/>
    <w:lvl w:ilvl="0" w:tplc="DC5C6CB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BE37CF"/>
    <w:multiLevelType w:val="hybridMultilevel"/>
    <w:tmpl w:val="77D6B6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DC1A95"/>
    <w:multiLevelType w:val="hybridMultilevel"/>
    <w:tmpl w:val="EBA0F5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106DEE"/>
    <w:multiLevelType w:val="hybridMultilevel"/>
    <w:tmpl w:val="2C10CDFC"/>
    <w:lvl w:ilvl="0" w:tplc="EE06FE88">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2152B5"/>
    <w:multiLevelType w:val="hybridMultilevel"/>
    <w:tmpl w:val="29D41FE4"/>
    <w:lvl w:ilvl="0" w:tplc="59F2ECFC">
      <w:numFmt w:val="bullet"/>
      <w:lvlText w:val="-"/>
      <w:lvlJc w:val="left"/>
      <w:pPr>
        <w:ind w:left="720" w:hanging="360"/>
      </w:pPr>
      <w:rPr>
        <w:rFonts w:ascii="Calibri" w:eastAsia="Calibri" w:hAnsi="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 w15:restartNumberingAfterBreak="0">
    <w:nsid w:val="27A75F1F"/>
    <w:multiLevelType w:val="hybridMultilevel"/>
    <w:tmpl w:val="BB7C2B90"/>
    <w:lvl w:ilvl="0" w:tplc="04070001">
      <w:start w:val="1"/>
      <w:numFmt w:val="bullet"/>
      <w:lvlText w:val=""/>
      <w:lvlJc w:val="left"/>
      <w:pPr>
        <w:ind w:left="720" w:hanging="360"/>
      </w:pPr>
      <w:rPr>
        <w:rFonts w:ascii="Symbol" w:hAnsi="Symbol" w:hint="default"/>
      </w:rPr>
    </w:lvl>
    <w:lvl w:ilvl="1" w:tplc="A6AED76A">
      <w:numFmt w:val="bullet"/>
      <w:lvlText w:val="-"/>
      <w:lvlJc w:val="left"/>
      <w:pPr>
        <w:ind w:left="1790" w:hanging="71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CB7222F"/>
    <w:multiLevelType w:val="hybridMultilevel"/>
    <w:tmpl w:val="3A44B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ED0137E"/>
    <w:multiLevelType w:val="hybridMultilevel"/>
    <w:tmpl w:val="2A020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EEB2829"/>
    <w:multiLevelType w:val="hybridMultilevel"/>
    <w:tmpl w:val="E10E9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D808A2"/>
    <w:multiLevelType w:val="hybridMultilevel"/>
    <w:tmpl w:val="22266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CEC6603"/>
    <w:multiLevelType w:val="hybridMultilevel"/>
    <w:tmpl w:val="920ECE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D2F415B"/>
    <w:multiLevelType w:val="hybridMultilevel"/>
    <w:tmpl w:val="822093B0"/>
    <w:lvl w:ilvl="0" w:tplc="4E3E1CD6">
      <w:start w:val="2"/>
      <w:numFmt w:val="bullet"/>
      <w:lvlText w:val="-"/>
      <w:lvlJc w:val="left"/>
      <w:pPr>
        <w:ind w:left="720" w:hanging="360"/>
      </w:pPr>
      <w:rPr>
        <w:rFonts w:ascii="BundesSerif Office" w:eastAsiaTheme="minorHAnsi" w:hAnsi="BundesSerif Office" w:cstheme="minorHAns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0AC22F5"/>
    <w:multiLevelType w:val="hybridMultilevel"/>
    <w:tmpl w:val="9C82C1E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B74430C"/>
    <w:multiLevelType w:val="hybridMultilevel"/>
    <w:tmpl w:val="B7666E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EAF2CCA"/>
    <w:multiLevelType w:val="hybridMultilevel"/>
    <w:tmpl w:val="0B5E904C"/>
    <w:lvl w:ilvl="0" w:tplc="9998FF2E">
      <w:numFmt w:val="bullet"/>
      <w:lvlText w:val="-"/>
      <w:lvlJc w:val="left"/>
      <w:pPr>
        <w:ind w:left="720" w:hanging="360"/>
      </w:pPr>
      <w:rPr>
        <w:rFonts w:ascii="Calibri" w:eastAsiaTheme="minorHAnsi" w:hAnsi="Calibri" w:cs="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5D27E07"/>
    <w:multiLevelType w:val="hybridMultilevel"/>
    <w:tmpl w:val="09AEA8EE"/>
    <w:lvl w:ilvl="0" w:tplc="04070001">
      <w:start w:val="1"/>
      <w:numFmt w:val="bullet"/>
      <w:lvlText w:val=""/>
      <w:lvlJc w:val="left"/>
      <w:pPr>
        <w:ind w:left="1135" w:hanging="360"/>
      </w:pPr>
      <w:rPr>
        <w:rFonts w:ascii="Symbol" w:hAnsi="Symbol" w:hint="default"/>
      </w:rPr>
    </w:lvl>
    <w:lvl w:ilvl="1" w:tplc="04070003" w:tentative="1">
      <w:start w:val="1"/>
      <w:numFmt w:val="bullet"/>
      <w:lvlText w:val="o"/>
      <w:lvlJc w:val="left"/>
      <w:pPr>
        <w:ind w:left="1855" w:hanging="360"/>
      </w:pPr>
      <w:rPr>
        <w:rFonts w:ascii="Courier New" w:hAnsi="Courier New" w:cs="Courier New" w:hint="default"/>
      </w:rPr>
    </w:lvl>
    <w:lvl w:ilvl="2" w:tplc="04070005" w:tentative="1">
      <w:start w:val="1"/>
      <w:numFmt w:val="bullet"/>
      <w:lvlText w:val=""/>
      <w:lvlJc w:val="left"/>
      <w:pPr>
        <w:ind w:left="2575" w:hanging="360"/>
      </w:pPr>
      <w:rPr>
        <w:rFonts w:ascii="Wingdings" w:hAnsi="Wingdings" w:hint="default"/>
      </w:rPr>
    </w:lvl>
    <w:lvl w:ilvl="3" w:tplc="04070001" w:tentative="1">
      <w:start w:val="1"/>
      <w:numFmt w:val="bullet"/>
      <w:lvlText w:val=""/>
      <w:lvlJc w:val="left"/>
      <w:pPr>
        <w:ind w:left="3295" w:hanging="360"/>
      </w:pPr>
      <w:rPr>
        <w:rFonts w:ascii="Symbol" w:hAnsi="Symbol" w:hint="default"/>
      </w:rPr>
    </w:lvl>
    <w:lvl w:ilvl="4" w:tplc="04070003" w:tentative="1">
      <w:start w:val="1"/>
      <w:numFmt w:val="bullet"/>
      <w:lvlText w:val="o"/>
      <w:lvlJc w:val="left"/>
      <w:pPr>
        <w:ind w:left="4015" w:hanging="360"/>
      </w:pPr>
      <w:rPr>
        <w:rFonts w:ascii="Courier New" w:hAnsi="Courier New" w:cs="Courier New" w:hint="default"/>
      </w:rPr>
    </w:lvl>
    <w:lvl w:ilvl="5" w:tplc="04070005" w:tentative="1">
      <w:start w:val="1"/>
      <w:numFmt w:val="bullet"/>
      <w:lvlText w:val=""/>
      <w:lvlJc w:val="left"/>
      <w:pPr>
        <w:ind w:left="4735" w:hanging="360"/>
      </w:pPr>
      <w:rPr>
        <w:rFonts w:ascii="Wingdings" w:hAnsi="Wingdings" w:hint="default"/>
      </w:rPr>
    </w:lvl>
    <w:lvl w:ilvl="6" w:tplc="04070001" w:tentative="1">
      <w:start w:val="1"/>
      <w:numFmt w:val="bullet"/>
      <w:lvlText w:val=""/>
      <w:lvlJc w:val="left"/>
      <w:pPr>
        <w:ind w:left="5455" w:hanging="360"/>
      </w:pPr>
      <w:rPr>
        <w:rFonts w:ascii="Symbol" w:hAnsi="Symbol" w:hint="default"/>
      </w:rPr>
    </w:lvl>
    <w:lvl w:ilvl="7" w:tplc="04070003" w:tentative="1">
      <w:start w:val="1"/>
      <w:numFmt w:val="bullet"/>
      <w:lvlText w:val="o"/>
      <w:lvlJc w:val="left"/>
      <w:pPr>
        <w:ind w:left="6175" w:hanging="360"/>
      </w:pPr>
      <w:rPr>
        <w:rFonts w:ascii="Courier New" w:hAnsi="Courier New" w:cs="Courier New" w:hint="default"/>
      </w:rPr>
    </w:lvl>
    <w:lvl w:ilvl="8" w:tplc="04070005" w:tentative="1">
      <w:start w:val="1"/>
      <w:numFmt w:val="bullet"/>
      <w:lvlText w:val=""/>
      <w:lvlJc w:val="left"/>
      <w:pPr>
        <w:ind w:left="6895" w:hanging="360"/>
      </w:pPr>
      <w:rPr>
        <w:rFonts w:ascii="Wingdings" w:hAnsi="Wingdings" w:hint="default"/>
      </w:rPr>
    </w:lvl>
  </w:abstractNum>
  <w:abstractNum w:abstractNumId="20" w15:restartNumberingAfterBreak="0">
    <w:nsid w:val="664D6B0B"/>
    <w:multiLevelType w:val="hybridMultilevel"/>
    <w:tmpl w:val="97041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3AE2FB6"/>
    <w:multiLevelType w:val="hybridMultilevel"/>
    <w:tmpl w:val="42D8E59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B3E5BB1"/>
    <w:multiLevelType w:val="hybridMultilevel"/>
    <w:tmpl w:val="77D6B6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5"/>
  </w:num>
  <w:num w:numId="3">
    <w:abstractNumId w:val="2"/>
  </w:num>
  <w:num w:numId="4">
    <w:abstractNumId w:val="22"/>
  </w:num>
  <w:num w:numId="5">
    <w:abstractNumId w:val="18"/>
  </w:num>
  <w:num w:numId="6">
    <w:abstractNumId w:val="21"/>
  </w:num>
  <w:num w:numId="7">
    <w:abstractNumId w:val="16"/>
  </w:num>
  <w:num w:numId="8">
    <w:abstractNumId w:val="19"/>
  </w:num>
  <w:num w:numId="9">
    <w:abstractNumId w:val="1"/>
  </w:num>
  <w:num w:numId="10">
    <w:abstractNumId w:val="9"/>
  </w:num>
  <w:num w:numId="11">
    <w:abstractNumId w:val="11"/>
  </w:num>
  <w:num w:numId="12">
    <w:abstractNumId w:val="3"/>
  </w:num>
  <w:num w:numId="13">
    <w:abstractNumId w:val="14"/>
  </w:num>
  <w:num w:numId="14">
    <w:abstractNumId w:val="12"/>
  </w:num>
  <w:num w:numId="15">
    <w:abstractNumId w:val="6"/>
  </w:num>
  <w:num w:numId="16">
    <w:abstractNumId w:val="20"/>
  </w:num>
  <w:num w:numId="17">
    <w:abstractNumId w:val="0"/>
  </w:num>
  <w:num w:numId="18">
    <w:abstractNumId w:val="10"/>
  </w:num>
  <w:num w:numId="19">
    <w:abstractNumId w:val="4"/>
  </w:num>
  <w:num w:numId="20">
    <w:abstractNumId w:val="15"/>
  </w:num>
  <w:num w:numId="21">
    <w:abstractNumId w:val="8"/>
  </w:num>
  <w:num w:numId="22">
    <w:abstractNumId w:val="8"/>
  </w:num>
  <w:num w:numId="23">
    <w:abstractNumId w:val="1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37DC13-08EA-4FD0-AAD8-371098022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000FF"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365F91" w:themeColor="accent1" w:themeShade="BF"/>
      <w:sz w:val="32"/>
      <w:szCs w:val="32"/>
    </w:rPr>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fontstyle2">
    <w:name w:val="fontstyle2"/>
    <w:basedOn w:val="Absatz-Standardschriftart"/>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365F91" w:themeColor="accent1" w:themeShade="BF"/>
      <w:sz w:val="26"/>
      <w:szCs w:val="26"/>
    </w:rPr>
  </w:style>
  <w:style w:type="character" w:customStyle="1" w:styleId="acopre">
    <w:name w:val="acopre"/>
    <w:basedOn w:val="Absatz-Standardschriftart"/>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uchtitel">
    <w:name w:val="Book Title"/>
    <w:basedOn w:val="Absatz-Standardschriftart"/>
    <w:uiPriority w:val="33"/>
    <w:qFormat/>
    <w:rPr>
      <w:b/>
      <w:bCs/>
      <w:i/>
      <w:iCs/>
      <w:spacing w:val="5"/>
    </w:rPr>
  </w:style>
  <w:style w:type="character" w:styleId="SchwacheHervorhebung">
    <w:name w:val="Subtle Emphasis"/>
    <w:basedOn w:val="Absatz-Standardschriftart"/>
    <w:uiPriority w:val="19"/>
    <w:qFormat/>
    <w:rPr>
      <w:i/>
      <w:iCs/>
      <w:color w:val="404040" w:themeColor="text1" w:themeTint="BF"/>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243F60" w:themeColor="accent1" w:themeShade="7F"/>
      <w:sz w:val="24"/>
      <w:szCs w:val="24"/>
    </w:rPr>
  </w:style>
  <w:style w:type="paragraph" w:styleId="Textkrper">
    <w:name w:val="Body Text"/>
    <w:basedOn w:val="Standard"/>
    <w:link w:val="TextkrperZchn"/>
    <w:uiPriority w:val="1"/>
    <w:semiHidden/>
    <w:unhideWhenUsed/>
    <w:qFormat/>
    <w:pPr>
      <w:widowControl w:val="0"/>
      <w:autoSpaceDE w:val="0"/>
      <w:autoSpaceDN w:val="0"/>
      <w:spacing w:after="0" w:line="240" w:lineRule="auto"/>
      <w:jc w:val="both"/>
    </w:pPr>
    <w:rPr>
      <w:rFonts w:ascii="Scala OT" w:eastAsia="Scala OT" w:hAnsi="Scala OT" w:cs="Scala OT"/>
      <w:sz w:val="20"/>
      <w:szCs w:val="20"/>
    </w:rPr>
  </w:style>
  <w:style w:type="character" w:customStyle="1" w:styleId="TextkrperZchn">
    <w:name w:val="Textkörper Zchn"/>
    <w:basedOn w:val="Absatz-Standardschriftart"/>
    <w:link w:val="Textkrper"/>
    <w:uiPriority w:val="1"/>
    <w:semiHidden/>
    <w:rPr>
      <w:rFonts w:ascii="Scala OT" w:eastAsia="Scala OT" w:hAnsi="Scala OT" w:cs="Scala OT"/>
      <w:sz w:val="20"/>
      <w:szCs w:val="20"/>
    </w:rPr>
  </w:style>
  <w:style w:type="paragraph" w:styleId="NurText">
    <w:name w:val="Plain Text"/>
    <w:basedOn w:val="Standard"/>
    <w:link w:val="NurTextZchn"/>
    <w:uiPriority w:val="99"/>
    <w:unhideWhenUsed/>
    <w:pPr>
      <w:spacing w:after="0" w:line="240" w:lineRule="auto"/>
    </w:pPr>
    <w:rPr>
      <w:rFonts w:ascii="Calibri" w:hAnsi="Calibri"/>
      <w:szCs w:val="21"/>
    </w:rPr>
  </w:style>
  <w:style w:type="character" w:customStyle="1" w:styleId="NurTextZchn">
    <w:name w:val="Nur Text Zchn"/>
    <w:basedOn w:val="Absatz-Standardschriftart"/>
    <w:link w:val="NurText"/>
    <w:uiPriority w:val="99"/>
    <w:rPr>
      <w:rFonts w:ascii="Calibri" w:hAnsi="Calibri"/>
      <w:szCs w:val="21"/>
    </w:rPr>
  </w:style>
  <w:style w:type="paragraph" w:customStyle="1" w:styleId="BodySciensano">
    <w:name w:val="Body Sciensano"/>
    <w:basedOn w:val="Standard"/>
    <w:qFormat/>
    <w:pPr>
      <w:spacing w:after="0"/>
      <w:contextualSpacing/>
      <w:jc w:val="both"/>
    </w:pPr>
    <w:rPr>
      <w:rFonts w:ascii="Arial" w:hAnsi="Arial"/>
      <w:color w:val="58595B"/>
      <w:sz w:val="20"/>
      <w:szCs w:val="20"/>
      <w:lang w:val="nl-BE"/>
    </w:rPr>
  </w:style>
  <w:style w:type="paragraph" w:customStyle="1" w:styleId="Quelle">
    <w:name w:val="Quelle"/>
    <w:basedOn w:val="Standard"/>
    <w:uiPriority w:val="1"/>
    <w:qFormat/>
    <w:pPr>
      <w:widowControl w:val="0"/>
      <w:autoSpaceDE w:val="0"/>
      <w:autoSpaceDN w:val="0"/>
      <w:spacing w:before="65" w:after="0" w:line="240" w:lineRule="auto"/>
      <w:ind w:left="238"/>
    </w:pPr>
    <w:rPr>
      <w:rFonts w:ascii="Scala OT" w:eastAsia="Scala OT" w:hAnsi="Scala OT" w:cs="Scala OT"/>
      <w:i/>
      <w:color w:val="005DB9"/>
      <w:sz w:val="18"/>
      <w:lang w:val="en-US"/>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i/>
      <w:iCs/>
      <w:color w:val="365F91" w:themeColor="accent1" w:themeShade="BF"/>
    </w:rPr>
  </w:style>
  <w:style w:type="paragraph" w:styleId="Inhaltsverzeichnisberschrift">
    <w:name w:val="TOC Heading"/>
    <w:basedOn w:val="berschrift1"/>
    <w:next w:val="Standard"/>
    <w:uiPriority w:val="39"/>
    <w:unhideWhenUsed/>
    <w:qFormat/>
    <w:pPr>
      <w:spacing w:line="259" w:lineRule="auto"/>
      <w:outlineLvl w:val="9"/>
    </w:pPr>
    <w:rPr>
      <w:lang w:eastAsia="de-DE"/>
    </w:rPr>
  </w:style>
  <w:style w:type="paragraph" w:styleId="Verzeichnis1">
    <w:name w:val="toc 1"/>
    <w:basedOn w:val="Standard"/>
    <w:next w:val="Standard"/>
    <w:autoRedefine/>
    <w:uiPriority w:val="39"/>
    <w:unhideWhenUsed/>
    <w:pPr>
      <w:spacing w:after="100"/>
    </w:pPr>
  </w:style>
  <w:style w:type="paragraph" w:styleId="Verzeichnis2">
    <w:name w:val="toc 2"/>
    <w:basedOn w:val="Standard"/>
    <w:next w:val="Standard"/>
    <w:autoRedefine/>
    <w:uiPriority w:val="39"/>
    <w:unhideWhenUsed/>
    <w:pPr>
      <w:spacing w:after="100"/>
      <w:ind w:left="220"/>
    </w:pPr>
  </w:style>
  <w:style w:type="paragraph" w:styleId="KeinLeerraum">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92438">
      <w:bodyDiv w:val="1"/>
      <w:marLeft w:val="0"/>
      <w:marRight w:val="0"/>
      <w:marTop w:val="0"/>
      <w:marBottom w:val="0"/>
      <w:divBdr>
        <w:top w:val="none" w:sz="0" w:space="0" w:color="auto"/>
        <w:left w:val="none" w:sz="0" w:space="0" w:color="auto"/>
        <w:bottom w:val="none" w:sz="0" w:space="0" w:color="auto"/>
        <w:right w:val="none" w:sz="0" w:space="0" w:color="auto"/>
      </w:divBdr>
    </w:div>
    <w:div w:id="840779012">
      <w:bodyDiv w:val="1"/>
      <w:marLeft w:val="0"/>
      <w:marRight w:val="0"/>
      <w:marTop w:val="0"/>
      <w:marBottom w:val="0"/>
      <w:divBdr>
        <w:top w:val="none" w:sz="0" w:space="0" w:color="auto"/>
        <w:left w:val="none" w:sz="0" w:space="0" w:color="auto"/>
        <w:bottom w:val="none" w:sz="0" w:space="0" w:color="auto"/>
        <w:right w:val="none" w:sz="0" w:space="0" w:color="auto"/>
      </w:divBdr>
    </w:div>
    <w:div w:id="861816969">
      <w:bodyDiv w:val="1"/>
      <w:marLeft w:val="0"/>
      <w:marRight w:val="0"/>
      <w:marTop w:val="0"/>
      <w:marBottom w:val="0"/>
      <w:divBdr>
        <w:top w:val="none" w:sz="0" w:space="0" w:color="auto"/>
        <w:left w:val="none" w:sz="0" w:space="0" w:color="auto"/>
        <w:bottom w:val="none" w:sz="0" w:space="0" w:color="auto"/>
        <w:right w:val="none" w:sz="0" w:space="0" w:color="auto"/>
      </w:divBdr>
    </w:div>
    <w:div w:id="1121150993">
      <w:bodyDiv w:val="1"/>
      <w:marLeft w:val="0"/>
      <w:marRight w:val="0"/>
      <w:marTop w:val="0"/>
      <w:marBottom w:val="0"/>
      <w:divBdr>
        <w:top w:val="none" w:sz="0" w:space="0" w:color="auto"/>
        <w:left w:val="none" w:sz="0" w:space="0" w:color="auto"/>
        <w:bottom w:val="none" w:sz="0" w:space="0" w:color="auto"/>
        <w:right w:val="none" w:sz="0" w:space="0" w:color="auto"/>
      </w:divBdr>
    </w:div>
    <w:div w:id="1274166084">
      <w:bodyDiv w:val="1"/>
      <w:marLeft w:val="0"/>
      <w:marRight w:val="0"/>
      <w:marTop w:val="0"/>
      <w:marBottom w:val="0"/>
      <w:divBdr>
        <w:top w:val="none" w:sz="0" w:space="0" w:color="auto"/>
        <w:left w:val="none" w:sz="0" w:space="0" w:color="auto"/>
        <w:bottom w:val="none" w:sz="0" w:space="0" w:color="auto"/>
        <w:right w:val="none" w:sz="0" w:space="0" w:color="auto"/>
      </w:divBdr>
    </w:div>
    <w:div w:id="1397316033">
      <w:bodyDiv w:val="1"/>
      <w:marLeft w:val="0"/>
      <w:marRight w:val="0"/>
      <w:marTop w:val="0"/>
      <w:marBottom w:val="0"/>
      <w:divBdr>
        <w:top w:val="none" w:sz="0" w:space="0" w:color="auto"/>
        <w:left w:val="none" w:sz="0" w:space="0" w:color="auto"/>
        <w:bottom w:val="none" w:sz="0" w:space="0" w:color="auto"/>
        <w:right w:val="none" w:sz="0" w:space="0" w:color="auto"/>
      </w:divBdr>
    </w:div>
    <w:div w:id="1685858908">
      <w:bodyDiv w:val="1"/>
      <w:marLeft w:val="0"/>
      <w:marRight w:val="0"/>
      <w:marTop w:val="0"/>
      <w:marBottom w:val="0"/>
      <w:divBdr>
        <w:top w:val="none" w:sz="0" w:space="0" w:color="auto"/>
        <w:left w:val="none" w:sz="0" w:space="0" w:color="auto"/>
        <w:bottom w:val="none" w:sz="0" w:space="0" w:color="auto"/>
        <w:right w:val="none" w:sz="0" w:space="0" w:color="auto"/>
      </w:divBdr>
    </w:div>
    <w:div w:id="1714842669">
      <w:bodyDiv w:val="1"/>
      <w:marLeft w:val="0"/>
      <w:marRight w:val="0"/>
      <w:marTop w:val="0"/>
      <w:marBottom w:val="0"/>
      <w:divBdr>
        <w:top w:val="none" w:sz="0" w:space="0" w:color="auto"/>
        <w:left w:val="none" w:sz="0" w:space="0" w:color="auto"/>
        <w:bottom w:val="none" w:sz="0" w:space="0" w:color="auto"/>
        <w:right w:val="none" w:sz="0" w:space="0" w:color="auto"/>
      </w:divBdr>
    </w:div>
    <w:div w:id="2038384023">
      <w:bodyDiv w:val="1"/>
      <w:marLeft w:val="0"/>
      <w:marRight w:val="0"/>
      <w:marTop w:val="0"/>
      <w:marBottom w:val="0"/>
      <w:divBdr>
        <w:top w:val="none" w:sz="0" w:space="0" w:color="auto"/>
        <w:left w:val="none" w:sz="0" w:space="0" w:color="auto"/>
        <w:bottom w:val="none" w:sz="0" w:space="0" w:color="auto"/>
        <w:right w:val="none" w:sz="0" w:space="0" w:color="auto"/>
      </w:divBdr>
    </w:div>
    <w:div w:id="210143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thub.com/cov-lineages/pango-designation/issues/343" TargetMode="External"/><Relationship Id="rId18" Type="http://schemas.openxmlformats.org/officeDocument/2006/relationships/hyperlink" Target="https://www.nicd.ac.za/diseases-a-z-index/disease-index-covid-19/surveillance-reports/weekly-epidemiological-brief/" TargetMode="External"/><Relationship Id="rId26" Type="http://schemas.openxmlformats.org/officeDocument/2006/relationships/hyperlink" Target="https://www.ndr.de/nachrichten/info/Corona-News-Ticker-Flugverkehr-mit-Suedafrika-wird-eingeschraenkt,coronaliveticker1420.html" TargetMode="External"/><Relationship Id="rId3" Type="http://schemas.openxmlformats.org/officeDocument/2006/relationships/styles" Target="styles.xml"/><Relationship Id="rId21" Type="http://schemas.openxmlformats.org/officeDocument/2006/relationships/hyperlink" Target="https://www.gov.uk/guidance/red-list-of-countries-and-territori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icd.ac.za/sustained-increase-in-covid-19-cases-2/" TargetMode="External"/><Relationship Id="rId25" Type="http://schemas.openxmlformats.org/officeDocument/2006/relationships/hyperlink" Target="https://www.timesofisrael.com/israel-detects-first-case-of-new-highly-mutated-covid-19-strai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Vh4XMueP1zQ"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euters.com/article/health-coronavirus-safrica-israel/israel-restricts-travel-to-southern-africa-over-new-covid-19-variant-idINL8N2SG57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theguardian.com/world/2021/nov/25/scientists-call-for-travel-code-red-over-covid-variant-found-in-southern-africa"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nicd.ac.za/latest-confirmed-cases-of-covid-19-in-south-africa-25-november-20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corona.health.gov.il/en/country-status/"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FC29A-5E35-4748-9402-6410081EC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1942</Words>
  <Characters>12236</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 Basel</dc:creator>
  <cp:keywords/>
  <dc:description/>
  <cp:lastModifiedBy>Rohde, Anna</cp:lastModifiedBy>
  <cp:revision>4</cp:revision>
  <dcterms:created xsi:type="dcterms:W3CDTF">2021-11-26T08:55:00Z</dcterms:created>
  <dcterms:modified xsi:type="dcterms:W3CDTF">2021-11-26T08:58:00Z</dcterms:modified>
</cp:coreProperties>
</file>