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el"/>
        <w:rPr>
          <w:sz w:val="40"/>
          <w:szCs w:val="40"/>
        </w:rPr>
      </w:pPr>
      <w:r>
        <w:rPr>
          <w:sz w:val="40"/>
          <w:szCs w:val="40"/>
        </w:rPr>
        <w:t xml:space="preserve">Mit welchen Risikoeinschätzungen können die Testfrequenzen, die </w:t>
      </w:r>
      <w:proofErr w:type="spellStart"/>
      <w:r>
        <w:rPr>
          <w:sz w:val="40"/>
          <w:szCs w:val="40"/>
        </w:rPr>
        <w:t>Testart</w:t>
      </w:r>
      <w:proofErr w:type="spellEnd"/>
      <w:r>
        <w:rPr>
          <w:sz w:val="40"/>
          <w:szCs w:val="40"/>
        </w:rPr>
        <w:t xml:space="preserve"> und der zu testende Personenkreis verändert werden?</w:t>
      </w:r>
    </w:p>
    <w:p>
      <w:pPr>
        <w:pStyle w:val="Untertitel"/>
      </w:pPr>
      <w:r>
        <w:t>Stand: 01.12.2021</w:t>
      </w:r>
    </w:p>
    <w:p>
      <w:pPr>
        <w:autoSpaceDE w:val="0"/>
        <w:autoSpaceDN w:val="0"/>
        <w:adjustRightInd w:val="0"/>
        <w:spacing w:after="0" w:line="240" w:lineRule="auto"/>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t xml:space="preserve">AUSGANGSLAGE: </w:t>
      </w:r>
    </w:p>
    <w:p>
      <w:pPr>
        <w:autoSpaceDE w:val="0"/>
        <w:autoSpaceDN w:val="0"/>
        <w:adjustRightInd w:val="0"/>
        <w:spacing w:after="0" w:line="240" w:lineRule="auto"/>
        <w:rPr>
          <w:rFonts w:cstheme="minorHAnsi"/>
        </w:rPr>
      </w:pPr>
    </w:p>
    <w:p>
      <w:pPr>
        <w:rPr>
          <w:rFonts w:cstheme="minorHAnsi"/>
        </w:rPr>
      </w:pPr>
      <w:r>
        <w:rPr>
          <w:rFonts w:cstheme="minorHAnsi"/>
        </w:rPr>
        <w:t>Mit E-Mail (Erlass) vom Freitag, 26. November 2021 22:55</w:t>
      </w:r>
    </w:p>
    <w:p>
      <w:pPr>
        <w:rPr>
          <w:rFonts w:cstheme="minorHAnsi"/>
        </w:rPr>
      </w:pPr>
      <w:r>
        <w:rPr>
          <w:rFonts w:cstheme="minorHAnsi"/>
        </w:rPr>
        <w:t>geben Sie eine Frage aus dem Parlament an uns zur Beantwortung weiter:</w:t>
      </w:r>
    </w:p>
    <w:p>
      <w:pPr>
        <w:pStyle w:val="NurText"/>
        <w:rPr>
          <w:rFonts w:asciiTheme="minorHAnsi" w:hAnsiTheme="minorHAnsi" w:cstheme="minorHAnsi"/>
        </w:rPr>
      </w:pPr>
      <w:r>
        <w:rPr>
          <w:rFonts w:asciiTheme="minorHAnsi" w:hAnsiTheme="minorHAnsi" w:cstheme="minorHAnsi"/>
        </w:rPr>
        <w:t>Relevanter Auszug aus dem ERLASS:</w:t>
      </w:r>
    </w:p>
    <w:p>
      <w:pPr>
        <w:pStyle w:val="NurText"/>
        <w:rPr>
          <w:rFonts w:asciiTheme="minorHAnsi" w:hAnsiTheme="minorHAnsi" w:cstheme="minorHAnsi"/>
        </w:rPr>
      </w:pPr>
      <w:r>
        <w:rPr>
          <w:rFonts w:asciiTheme="minorHAnsi" w:hAnsiTheme="minorHAnsi" w:cstheme="minorHAnsi"/>
        </w:rPr>
        <w:t xml:space="preserve">"Aus dem Parlament wird nunmehr die Frage gestellt, mit welchen Risikoeinschätzungen die Testfrequenzen, die </w:t>
      </w:r>
      <w:proofErr w:type="spellStart"/>
      <w:r>
        <w:rPr>
          <w:rFonts w:asciiTheme="minorHAnsi" w:hAnsiTheme="minorHAnsi" w:cstheme="minorHAnsi"/>
        </w:rPr>
        <w:t>Testart</w:t>
      </w:r>
      <w:proofErr w:type="spellEnd"/>
      <w:r>
        <w:rPr>
          <w:rFonts w:asciiTheme="minorHAnsi" w:hAnsiTheme="minorHAnsi" w:cstheme="minorHAnsi"/>
        </w:rPr>
        <w:t xml:space="preserve"> und der zu testende Personenkreis verändert werden könnten. </w:t>
      </w:r>
    </w:p>
    <w:p>
      <w:pPr>
        <w:pStyle w:val="NurText"/>
        <w:rPr>
          <w:rFonts w:asciiTheme="minorHAnsi" w:hAnsiTheme="minorHAnsi" w:cstheme="minorHAnsi"/>
        </w:rPr>
      </w:pPr>
    </w:p>
    <w:p>
      <w:pPr>
        <w:pStyle w:val="NurText"/>
        <w:rPr>
          <w:rFonts w:asciiTheme="minorHAnsi" w:hAnsiTheme="minorHAnsi" w:cstheme="minorHAnsi"/>
        </w:rPr>
      </w:pPr>
      <w:r>
        <w:rPr>
          <w:rFonts w:asciiTheme="minorHAnsi" w:hAnsiTheme="minorHAnsi" w:cstheme="minorHAnsi"/>
        </w:rPr>
        <w:t xml:space="preserve">Für die Antwort(en) bitten Sie dabei folgende Merkmale/Kriterien zu unterscheiden: </w:t>
      </w:r>
    </w:p>
    <w:p>
      <w:pPr>
        <w:pStyle w:val="NurText"/>
        <w:rPr>
          <w:rFonts w:asciiTheme="minorHAnsi" w:hAnsiTheme="minorHAnsi" w:cstheme="minorHAnsi"/>
        </w:rPr>
      </w:pPr>
    </w:p>
    <w:p>
      <w:pPr>
        <w:pStyle w:val="NurText"/>
        <w:rPr>
          <w:rFonts w:asciiTheme="minorHAnsi" w:hAnsiTheme="minorHAnsi" w:cstheme="minorHAnsi"/>
        </w:rPr>
      </w:pPr>
      <w:r>
        <w:rPr>
          <w:rFonts w:asciiTheme="minorHAnsi" w:hAnsiTheme="minorHAnsi" w:cstheme="minorHAnsi"/>
        </w:rPr>
        <w:t xml:space="preserve">Zu testende Personen: </w:t>
      </w:r>
    </w:p>
    <w:p>
      <w:pPr>
        <w:pStyle w:val="NurText"/>
        <w:rPr>
          <w:rFonts w:asciiTheme="minorHAnsi" w:hAnsiTheme="minorHAnsi" w:cstheme="minorHAnsi"/>
        </w:rPr>
      </w:pPr>
      <w:r>
        <w:rPr>
          <w:rFonts w:asciiTheme="minorHAnsi" w:hAnsiTheme="minorHAnsi" w:cstheme="minorHAnsi"/>
        </w:rPr>
        <w:t xml:space="preserve">a) 3-fach Geimpfte </w:t>
      </w:r>
    </w:p>
    <w:p>
      <w:pPr>
        <w:pStyle w:val="NurText"/>
        <w:rPr>
          <w:rFonts w:asciiTheme="minorHAnsi" w:hAnsiTheme="minorHAnsi" w:cstheme="minorHAnsi"/>
        </w:rPr>
      </w:pPr>
      <w:r>
        <w:rPr>
          <w:rFonts w:asciiTheme="minorHAnsi" w:hAnsiTheme="minorHAnsi" w:cstheme="minorHAnsi"/>
        </w:rPr>
        <w:t>b) 2-fach Geimpfte</w:t>
      </w:r>
    </w:p>
    <w:p>
      <w:pPr>
        <w:pStyle w:val="NurText"/>
        <w:rPr>
          <w:rFonts w:asciiTheme="minorHAnsi" w:hAnsiTheme="minorHAnsi" w:cstheme="minorHAnsi"/>
        </w:rPr>
      </w:pPr>
      <w:r>
        <w:rPr>
          <w:rFonts w:asciiTheme="minorHAnsi" w:hAnsiTheme="minorHAnsi" w:cstheme="minorHAnsi"/>
        </w:rPr>
        <w:t>c) Nicht- bzw. "nichtvollständig"- Geimpfte</w:t>
      </w:r>
    </w:p>
    <w:p>
      <w:pPr>
        <w:pStyle w:val="NurText"/>
        <w:rPr>
          <w:rFonts w:asciiTheme="minorHAnsi" w:hAnsiTheme="minorHAnsi" w:cstheme="minorHAnsi"/>
        </w:rPr>
      </w:pPr>
    </w:p>
    <w:p>
      <w:pPr>
        <w:pStyle w:val="NurText"/>
        <w:rPr>
          <w:rFonts w:asciiTheme="minorHAnsi" w:hAnsiTheme="minorHAnsi" w:cstheme="minorHAnsi"/>
        </w:rPr>
      </w:pPr>
      <w:r>
        <w:rPr>
          <w:rFonts w:asciiTheme="minorHAnsi" w:hAnsiTheme="minorHAnsi" w:cstheme="minorHAnsi"/>
        </w:rPr>
        <w:t>Settings/Einrichtungen:</w:t>
      </w:r>
    </w:p>
    <w:p>
      <w:pPr>
        <w:pStyle w:val="NurText"/>
        <w:rPr>
          <w:rFonts w:asciiTheme="minorHAnsi" w:hAnsiTheme="minorHAnsi" w:cstheme="minorHAnsi"/>
        </w:rPr>
      </w:pPr>
      <w:r>
        <w:rPr>
          <w:rFonts w:asciiTheme="minorHAnsi" w:hAnsiTheme="minorHAnsi" w:cstheme="minorHAnsi"/>
        </w:rPr>
        <w:t>d) Alten- und Pflegeheime</w:t>
      </w:r>
    </w:p>
    <w:p>
      <w:pPr>
        <w:pStyle w:val="NurText"/>
        <w:rPr>
          <w:rFonts w:asciiTheme="minorHAnsi" w:hAnsiTheme="minorHAnsi" w:cstheme="minorHAnsi"/>
        </w:rPr>
      </w:pPr>
      <w:r>
        <w:rPr>
          <w:rFonts w:asciiTheme="minorHAnsi" w:hAnsiTheme="minorHAnsi" w:cstheme="minorHAnsi"/>
        </w:rPr>
        <w:t>e) Krankenhäuser (in der Akutversorgung)</w:t>
      </w:r>
    </w:p>
    <w:p>
      <w:pPr>
        <w:pStyle w:val="NurText"/>
        <w:rPr>
          <w:rFonts w:asciiTheme="minorHAnsi" w:hAnsiTheme="minorHAnsi" w:cstheme="minorHAnsi"/>
        </w:rPr>
      </w:pPr>
      <w:r>
        <w:rPr>
          <w:rFonts w:asciiTheme="minorHAnsi" w:hAnsiTheme="minorHAnsi" w:cstheme="minorHAnsi"/>
        </w:rPr>
        <w:t>f) Arztpraxen</w:t>
      </w:r>
    </w:p>
    <w:p>
      <w:pPr>
        <w:pStyle w:val="NurText"/>
        <w:rPr>
          <w:rFonts w:asciiTheme="minorHAnsi" w:hAnsiTheme="minorHAnsi" w:cstheme="minorHAnsi"/>
        </w:rPr>
      </w:pPr>
      <w:r>
        <w:rPr>
          <w:rFonts w:asciiTheme="minorHAnsi" w:hAnsiTheme="minorHAnsi" w:cstheme="minorHAnsi"/>
        </w:rPr>
        <w:t>g) Zahnarzt-Praxen</w:t>
      </w:r>
    </w:p>
    <w:p>
      <w:pPr>
        <w:pStyle w:val="NurText"/>
        <w:rPr>
          <w:rFonts w:asciiTheme="minorHAnsi" w:hAnsiTheme="minorHAnsi" w:cstheme="minorHAnsi"/>
        </w:rPr>
      </w:pPr>
    </w:p>
    <w:p>
      <w:pPr>
        <w:pStyle w:val="NurText"/>
        <w:rPr>
          <w:rFonts w:asciiTheme="minorHAnsi" w:hAnsiTheme="minorHAnsi" w:cstheme="minorHAnsi"/>
        </w:rPr>
      </w:pPr>
      <w:r>
        <w:rPr>
          <w:rFonts w:asciiTheme="minorHAnsi" w:hAnsiTheme="minorHAnsi" w:cstheme="minorHAnsi"/>
        </w:rPr>
        <w:t xml:space="preserve">Testarten: </w:t>
      </w:r>
    </w:p>
    <w:p>
      <w:pPr>
        <w:pStyle w:val="NurText"/>
        <w:rPr>
          <w:rFonts w:asciiTheme="minorHAnsi" w:hAnsiTheme="minorHAnsi" w:cstheme="minorHAnsi"/>
        </w:rPr>
      </w:pPr>
      <w:r>
        <w:rPr>
          <w:rFonts w:asciiTheme="minorHAnsi" w:hAnsiTheme="minorHAnsi" w:cstheme="minorHAnsi"/>
        </w:rPr>
        <w:t>h) Antigen-Schnelltests</w:t>
      </w:r>
    </w:p>
    <w:p>
      <w:pPr>
        <w:pStyle w:val="NurText"/>
        <w:rPr>
          <w:rFonts w:asciiTheme="minorHAnsi" w:hAnsiTheme="minorHAnsi" w:cstheme="minorHAnsi"/>
        </w:rPr>
      </w:pPr>
      <w:r>
        <w:rPr>
          <w:rFonts w:asciiTheme="minorHAnsi" w:hAnsiTheme="minorHAnsi" w:cstheme="minorHAnsi"/>
        </w:rPr>
        <w:t>i) PCR-Tests</w:t>
      </w:r>
    </w:p>
    <w:p>
      <w:pPr>
        <w:pStyle w:val="NurText"/>
        <w:rPr>
          <w:rFonts w:asciiTheme="minorHAnsi" w:hAnsiTheme="minorHAnsi" w:cstheme="minorHAnsi"/>
        </w:rPr>
      </w:pPr>
    </w:p>
    <w:p>
      <w:pPr>
        <w:pStyle w:val="NurText"/>
        <w:rPr>
          <w:rFonts w:asciiTheme="minorHAnsi" w:hAnsiTheme="minorHAnsi" w:cstheme="minorHAnsi"/>
        </w:rPr>
      </w:pPr>
      <w:r>
        <w:rPr>
          <w:rFonts w:asciiTheme="minorHAnsi" w:hAnsiTheme="minorHAnsi" w:cstheme="minorHAnsi"/>
        </w:rPr>
        <w:t xml:space="preserve">Hinterfragt werden soll, ob in den o.g. Settings für bestimmte Gruppen bspw. eine (arbeits-) wöchentliche 2- oder 3-fach-Testung mit Antigen-Tests zur Risikominimierung in Bezug auf eine potenzielle Virusübertragung auf zu schützende Personen "ausreichend" sein könnte, oder welche anderen Frequenzen mit Blick auf die genannten Settings und Impfniveaus "empfehlenswert" wären. </w:t>
      </w:r>
    </w:p>
    <w:p>
      <w:pPr>
        <w:pStyle w:val="NurText"/>
        <w:rPr>
          <w:rFonts w:asciiTheme="minorHAnsi" w:hAnsiTheme="minorHAnsi" w:cstheme="minorHAnsi"/>
        </w:rPr>
      </w:pPr>
    </w:p>
    <w:p>
      <w:pPr>
        <w:pStyle w:val="NurText"/>
        <w:rPr>
          <w:rFonts w:asciiTheme="minorHAnsi" w:hAnsiTheme="minorHAnsi" w:cstheme="minorHAnsi"/>
        </w:rPr>
      </w:pPr>
      <w:r>
        <w:rPr>
          <w:rFonts w:asciiTheme="minorHAnsi" w:hAnsiTheme="minorHAnsi" w:cstheme="minorHAnsi"/>
        </w:rPr>
        <w:t xml:space="preserve">Es wird um eine abgestufte (ggf. "bezifferbare") Risikoeinschätzung gebeten“. </w:t>
      </w:r>
    </w:p>
    <w:p>
      <w:pPr>
        <w:pStyle w:val="NurText"/>
        <w:rPr>
          <w:rFonts w:asciiTheme="minorHAnsi" w:hAnsiTheme="minorHAnsi" w:cstheme="minorHAnsi"/>
        </w:rPr>
      </w:pPr>
    </w:p>
    <w:p>
      <w:pPr>
        <w:pStyle w:val="NurText"/>
        <w:rPr>
          <w:rFonts w:asciiTheme="minorHAnsi" w:hAnsiTheme="minorHAnsi" w:cstheme="minorHAnsi"/>
        </w:rPr>
      </w:pPr>
    </w:p>
    <w:p>
      <w:pPr>
        <w:pStyle w:val="NurText"/>
        <w:rPr>
          <w:rFonts w:asciiTheme="majorHAnsi" w:eastAsiaTheme="majorEastAsia" w:hAnsiTheme="majorHAnsi" w:cstheme="majorBidi"/>
          <w:bCs/>
          <w:color w:val="365F91" w:themeColor="accent1" w:themeShade="BF"/>
          <w:sz w:val="28"/>
          <w:szCs w:val="28"/>
        </w:rPr>
      </w:pPr>
      <w:r>
        <w:rPr>
          <w:rFonts w:asciiTheme="majorHAnsi" w:eastAsiaTheme="majorEastAsia" w:hAnsiTheme="majorHAnsi" w:cstheme="majorBidi"/>
          <w:bCs/>
          <w:color w:val="365F91" w:themeColor="accent1" w:themeShade="BF"/>
          <w:sz w:val="28"/>
          <w:szCs w:val="28"/>
        </w:rPr>
        <w:t>ANTWORT:</w:t>
      </w:r>
    </w:p>
    <w:p>
      <w:pPr>
        <w:pStyle w:val="NurText"/>
      </w:pPr>
    </w:p>
    <w:p>
      <w:pPr>
        <w:pStyle w:val="NurText"/>
      </w:pPr>
      <w:r>
        <w:t xml:space="preserve">In der Sache geht es um die </w:t>
      </w:r>
      <w:r>
        <w:rPr>
          <w:b/>
        </w:rPr>
        <w:t xml:space="preserve">Prävention nosokomialer Übertragungen von SARS-CoV-2 von Pflegenden auf Patienten bzw. Bewohner von Pflegeheimen. </w:t>
      </w:r>
      <w:r>
        <w:t xml:space="preserve">Diese beruht auf einem </w:t>
      </w:r>
      <w:proofErr w:type="spellStart"/>
      <w:r>
        <w:t>Multibarrierensystem</w:t>
      </w:r>
      <w:proofErr w:type="spellEnd"/>
      <w:r>
        <w:t xml:space="preserve"> aus</w:t>
      </w:r>
    </w:p>
    <w:p>
      <w:pPr>
        <w:pStyle w:val="NurText"/>
        <w:numPr>
          <w:ilvl w:val="0"/>
          <w:numId w:val="10"/>
        </w:numPr>
      </w:pPr>
      <w:r>
        <w:t>Impfung</w:t>
      </w:r>
    </w:p>
    <w:p>
      <w:pPr>
        <w:pStyle w:val="NurText"/>
        <w:numPr>
          <w:ilvl w:val="0"/>
          <w:numId w:val="10"/>
        </w:numPr>
      </w:pPr>
      <w:r>
        <w:t>MNS/Atemschutz und Basishygienemaßnahmen</w:t>
      </w:r>
    </w:p>
    <w:p>
      <w:pPr>
        <w:pStyle w:val="NurText"/>
        <w:ind w:left="360"/>
      </w:pPr>
      <w:r>
        <w:t xml:space="preserve">sowie </w:t>
      </w:r>
    </w:p>
    <w:p>
      <w:pPr>
        <w:pStyle w:val="NurText"/>
        <w:numPr>
          <w:ilvl w:val="0"/>
          <w:numId w:val="10"/>
        </w:numPr>
      </w:pPr>
      <w:r>
        <w:t>Ergänzenden SARS-CoV-2 Tests.</w:t>
      </w:r>
    </w:p>
    <w:p>
      <w:pPr>
        <w:pStyle w:val="NurText"/>
      </w:pPr>
    </w:p>
    <w:p>
      <w:pPr>
        <w:pStyle w:val="NurText"/>
      </w:pPr>
      <w:r>
        <w:t>Tests auf SARS-CoV-2 vermindern das Übertragungsrisiko (insbesondere in Zeiten hoher 7-Tage-Inzidenzen), da auch Geimpfte das Virus nach entsprechendem Kontakt und anschließender Infektion ausscheiden können. Die durch die ergänzenden Tests zu erzielende Risikoreduktion ist abhängig von</w:t>
      </w:r>
    </w:p>
    <w:p>
      <w:pPr>
        <w:pStyle w:val="NurText"/>
        <w:numPr>
          <w:ilvl w:val="0"/>
          <w:numId w:val="10"/>
        </w:numPr>
      </w:pPr>
      <w:r>
        <w:t>Der 7-Tage-Inzidenz</w:t>
      </w:r>
    </w:p>
    <w:p>
      <w:pPr>
        <w:pStyle w:val="NurText"/>
        <w:numPr>
          <w:ilvl w:val="0"/>
          <w:numId w:val="10"/>
        </w:numPr>
      </w:pPr>
      <w:r>
        <w:t>Der Tragfähigkeit des Impfschutzes</w:t>
      </w:r>
    </w:p>
    <w:p>
      <w:pPr>
        <w:pStyle w:val="NurText"/>
        <w:numPr>
          <w:ilvl w:val="0"/>
          <w:numId w:val="10"/>
        </w:numPr>
      </w:pPr>
      <w:r>
        <w:t xml:space="preserve">Der Exposition (z.B. in der Familie) </w:t>
      </w:r>
    </w:p>
    <w:p>
      <w:pPr>
        <w:pStyle w:val="NurText"/>
        <w:numPr>
          <w:ilvl w:val="0"/>
          <w:numId w:val="10"/>
        </w:numPr>
      </w:pPr>
      <w:r>
        <w:t>Der Testfrequenz und</w:t>
      </w:r>
    </w:p>
    <w:p>
      <w:pPr>
        <w:pStyle w:val="NurText"/>
        <w:numPr>
          <w:ilvl w:val="0"/>
          <w:numId w:val="10"/>
        </w:numPr>
      </w:pPr>
      <w:r>
        <w:t xml:space="preserve">Der Sensitivität der verwendeten Tests. </w:t>
      </w:r>
    </w:p>
    <w:p>
      <w:pPr>
        <w:pStyle w:val="NurText"/>
      </w:pPr>
    </w:p>
    <w:p>
      <w:pPr>
        <w:pStyle w:val="NurText"/>
      </w:pPr>
      <w:r>
        <w:t>Eine tägliche Testung aller MitarbeiterInnen wurde von Fachgesellschaften (etwa DGI bzw. BÄK) als nicht praktikabel angesehen.</w:t>
      </w:r>
    </w:p>
    <w:p>
      <w:pPr>
        <w:pStyle w:val="NurText"/>
      </w:pPr>
    </w:p>
    <w:p>
      <w:pPr>
        <w:pStyle w:val="NurText"/>
      </w:pPr>
    </w:p>
    <w:p>
      <w:pPr>
        <w:pStyle w:val="NurText"/>
      </w:pPr>
      <w:r>
        <w:t>Im Hinblick auf die Praxisnähe sind folgende Settings zu unterscheiden</w:t>
      </w:r>
    </w:p>
    <w:p>
      <w:pPr>
        <w:pStyle w:val="NurText"/>
      </w:pPr>
    </w:p>
    <w:p>
      <w:pPr>
        <w:pStyle w:val="NurText"/>
        <w:rPr>
          <w:b/>
        </w:rPr>
      </w:pPr>
      <w:r>
        <w:rPr>
          <w:b/>
        </w:rPr>
        <w:t>A) stationäres Setting</w:t>
      </w:r>
    </w:p>
    <w:p>
      <w:pPr>
        <w:pStyle w:val="NurText"/>
      </w:pPr>
      <w:r>
        <w:t>a) Alten- und Pflegeheime</w:t>
      </w:r>
    </w:p>
    <w:p>
      <w:pPr>
        <w:pStyle w:val="NurText"/>
      </w:pPr>
      <w:r>
        <w:t>b) Krankenhäuser (in der Akutversorgung)</w:t>
      </w:r>
    </w:p>
    <w:p>
      <w:pPr>
        <w:pStyle w:val="NurText"/>
      </w:pPr>
    </w:p>
    <w:p>
      <w:pPr>
        <w:pStyle w:val="NurText"/>
        <w:rPr>
          <w:b/>
        </w:rPr>
      </w:pPr>
      <w:r>
        <w:rPr>
          <w:b/>
        </w:rPr>
        <w:t>B) ambulantes Setting</w:t>
      </w:r>
    </w:p>
    <w:p>
      <w:pPr>
        <w:pStyle w:val="NurText"/>
      </w:pPr>
      <w:r>
        <w:t>c) Arztpraxen</w:t>
      </w:r>
    </w:p>
    <w:p>
      <w:pPr>
        <w:pStyle w:val="NurText"/>
      </w:pPr>
      <w:r>
        <w:t>d) Zahnarzt-Praxen</w:t>
      </w:r>
    </w:p>
    <w:p>
      <w:pPr>
        <w:pStyle w:val="NurText"/>
      </w:pPr>
    </w:p>
    <w:p>
      <w:pPr>
        <w:pStyle w:val="NurText"/>
      </w:pPr>
      <w:r>
        <w:t>In diesen beiden Settings unterscheiden sich Zahl und Art von Kontakten zwischen Personal und Patienten bzw. zu Pflegenden.</w:t>
      </w:r>
    </w:p>
    <w:p>
      <w:pPr>
        <w:pStyle w:val="NurText"/>
      </w:pPr>
    </w:p>
    <w:p>
      <w:pPr>
        <w:pStyle w:val="NurText"/>
      </w:pPr>
      <w:r>
        <w:t xml:space="preserve">Auch möchten wir aus Gründen der Praktikabilität vorschlagen, nur zwischen i) </w:t>
      </w:r>
      <w:r>
        <w:rPr>
          <w:b/>
        </w:rPr>
        <w:t>vollständig Geimpften</w:t>
      </w:r>
      <w:r>
        <w:t xml:space="preserve"> (letzte Impfung &lt; 6 Monate zurückliegend) und ii) </w:t>
      </w:r>
      <w:r>
        <w:rPr>
          <w:b/>
        </w:rPr>
        <w:t>Ungeimpften</w:t>
      </w:r>
      <w:r>
        <w:t xml:space="preserve"> zu unterscheiden. </w:t>
      </w:r>
    </w:p>
    <w:p>
      <w:pPr>
        <w:pStyle w:val="NurText"/>
      </w:pPr>
    </w:p>
    <w:p>
      <w:pPr>
        <w:pStyle w:val="NurText"/>
      </w:pPr>
      <w:r>
        <w:t xml:space="preserve">Die entsprechenden Berechnungen finden sich in der Anlage. Mithilfe der dort dargelegten Formel lässt sich die Risikominimierung in Abhängigkeit von den entsprechenden Variablen berechnen (auf Folie 11 findet sich auch eine orientierende Tabelle). Beispielhaft ist bei 2G und dem Tragen von Masken eine mindestens 2x-wöchentliche Testung im Bereich der Alten- und Pflegeheime ein plausibler Ansatz. Ungeimpfte müssten häufiger getestet werden (s. Anlage). </w:t>
      </w:r>
    </w:p>
    <w:p>
      <w:pPr>
        <w:pStyle w:val="NurText"/>
      </w:pPr>
    </w:p>
    <w:p>
      <w:pPr>
        <w:pStyle w:val="NurText"/>
      </w:pPr>
    </w:p>
    <w:p>
      <w:pPr>
        <w:pStyle w:val="NurText"/>
        <w:rPr>
          <w:rFonts w:asciiTheme="majorHAnsi" w:eastAsiaTheme="majorEastAsia" w:hAnsiTheme="majorHAnsi" w:cstheme="majorBidi"/>
          <w:bCs/>
          <w:color w:val="365F91" w:themeColor="accent1" w:themeShade="BF"/>
          <w:sz w:val="28"/>
          <w:szCs w:val="28"/>
        </w:rPr>
      </w:pPr>
      <w:r>
        <w:rPr>
          <w:rFonts w:asciiTheme="majorHAnsi" w:eastAsiaTheme="majorEastAsia" w:hAnsiTheme="majorHAnsi" w:cstheme="majorBidi"/>
          <w:bCs/>
          <w:color w:val="365F91" w:themeColor="accent1" w:themeShade="BF"/>
          <w:sz w:val="28"/>
          <w:szCs w:val="28"/>
        </w:rPr>
        <w:t>FAZIT:</w:t>
      </w:r>
    </w:p>
    <w:p>
      <w:pPr>
        <w:pStyle w:val="NurText"/>
      </w:pPr>
    </w:p>
    <w:p>
      <w:pPr>
        <w:pStyle w:val="NurText"/>
      </w:pPr>
      <w:r>
        <w:t xml:space="preserve">Zum Schutz vulnerabler Gruppen in Zeiten hoher Viruszirkulation kann im Rahmen eines </w:t>
      </w:r>
      <w:proofErr w:type="spellStart"/>
      <w:r>
        <w:t>Multibarrierensystems</w:t>
      </w:r>
      <w:proofErr w:type="spellEnd"/>
      <w:r>
        <w:t xml:space="preserve"> (Impfung, MNS/ Basishygiene, Tests) ein 2G+ Konzept mit 2x wöchentlicher Testung als Orientierungsmaßstab für pflegendes Personal gelten. (s. auch die Tabelle auf Folie 11).</w:t>
      </w:r>
    </w:p>
    <w:p>
      <w:pPr>
        <w:pStyle w:val="NurText"/>
      </w:pPr>
    </w:p>
    <w:p>
      <w:pPr>
        <w:pStyle w:val="NurText"/>
      </w:pPr>
      <w:r>
        <w:t>Ungeimpfte sollten häufiger getestet werden. Das Restrisiko ist aber dennoch höher als bei zweifach getesteten Geimpften.</w:t>
      </w:r>
      <w:r>
        <w:t xml:space="preserve"> </w:t>
      </w:r>
    </w:p>
    <w:p>
      <w:pPr>
        <w:pStyle w:val="NurText"/>
      </w:pPr>
      <w:r>
        <w:t>Für MitarbeiterInnen ohne Patientenkontakt ist eine 3G- oder 2G- Regelung ausreichend (s. hierzu auch https://www.dgi-net.de/unzumutbare-belastung-des-unter-hochdruck-stehenden-gesundheitssystems-dgi-fordert-umgehende-anpassung-der-testpflicht/).</w:t>
      </w:r>
    </w:p>
    <w:p>
      <w:pPr>
        <w:pStyle w:val="NurText"/>
      </w:pPr>
    </w:p>
    <w:p>
      <w:pPr>
        <w:pStyle w:val="NurText"/>
      </w:pPr>
      <w:r>
        <w:t>Eine zu starke Differenzierung geht häufig mit Einschränkungen der Compliance einher.</w:t>
      </w:r>
    </w:p>
    <w:p>
      <w:pPr>
        <w:pStyle w:val="NurText"/>
      </w:pPr>
      <w:bookmarkStart w:id="0" w:name="_GoBack"/>
      <w:bookmarkEnd w:id="0"/>
    </w:p>
    <w:sectPr>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552"/>
    <w:multiLevelType w:val="hybridMultilevel"/>
    <w:tmpl w:val="C448974C"/>
    <w:lvl w:ilvl="0" w:tplc="C14CF2E4">
      <w:start w:val="2"/>
      <w:numFmt w:val="bullet"/>
      <w:lvlText w:val="-"/>
      <w:lvlJc w:val="left"/>
      <w:pPr>
        <w:ind w:left="720" w:hanging="360"/>
      </w:pPr>
      <w:rPr>
        <w:rFonts w:ascii="Calibri" w:eastAsiaTheme="minorHAnsi" w:hAnsi="Calibri" w:cstheme="minorBidi" w:hint="default"/>
        <w:b w:val="0"/>
        <w:color w:val="auto"/>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35D3C"/>
    <w:multiLevelType w:val="hybridMultilevel"/>
    <w:tmpl w:val="42063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C4A12"/>
    <w:multiLevelType w:val="hybridMultilevel"/>
    <w:tmpl w:val="A38A6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8251DA"/>
    <w:multiLevelType w:val="hybridMultilevel"/>
    <w:tmpl w:val="EF7890DC"/>
    <w:lvl w:ilvl="0" w:tplc="1A50B9C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5211F"/>
    <w:multiLevelType w:val="hybridMultilevel"/>
    <w:tmpl w:val="9A16D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3E5DC4"/>
    <w:multiLevelType w:val="hybridMultilevel"/>
    <w:tmpl w:val="C4BCD2AA"/>
    <w:lvl w:ilvl="0" w:tplc="0407000F">
      <w:start w:val="1"/>
      <w:numFmt w:val="decimal"/>
      <w:lvlText w:val="%1."/>
      <w:lvlJc w:val="left"/>
      <w:pPr>
        <w:ind w:left="1800" w:hanging="360"/>
      </w:pPr>
      <w:rPr>
        <w:rFont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 w15:restartNumberingAfterBreak="0">
    <w:nsid w:val="386C3BB3"/>
    <w:multiLevelType w:val="hybridMultilevel"/>
    <w:tmpl w:val="3CA27B08"/>
    <w:lvl w:ilvl="0" w:tplc="D122970C">
      <w:start w:val="1"/>
      <w:numFmt w:val="decimal"/>
      <w:lvlText w:val="%1.)"/>
      <w:lvlJc w:val="left"/>
      <w:pPr>
        <w:ind w:left="1353"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42DD51B8"/>
    <w:multiLevelType w:val="hybridMultilevel"/>
    <w:tmpl w:val="E61086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050E37"/>
    <w:multiLevelType w:val="hybridMultilevel"/>
    <w:tmpl w:val="2F08BE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C57B1A"/>
    <w:multiLevelType w:val="hybridMultilevel"/>
    <w:tmpl w:val="88440F64"/>
    <w:lvl w:ilvl="0" w:tplc="BA4C7F56">
      <w:start w:val="1"/>
      <w:numFmt w:val="decimal"/>
      <w:lvlText w:val="%1."/>
      <w:lvlJc w:val="left"/>
      <w:pPr>
        <w:ind w:left="720" w:hanging="360"/>
      </w:pPr>
      <w:rPr>
        <w:rFonts w:hint="default"/>
        <w:b/>
        <w:i/>
        <w:color w:val="4F81BD" w:themeColor="accent1"/>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9"/>
  </w:num>
  <w:num w:numId="5">
    <w:abstractNumId w:val="6"/>
  </w:num>
  <w:num w:numId="6">
    <w:abstractNumId w:val="5"/>
  </w:num>
  <w:num w:numId="7">
    <w:abstractNumId w:val="7"/>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A00A31-69C1-4FA4-B96D-FE5CB2E8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pPr>
      <w:spacing w:line="240" w:lineRule="auto"/>
    </w:pPr>
    <w:rPr>
      <w:b/>
      <w:bCs/>
      <w:color w:val="4F81BD" w:themeColor="accent1"/>
      <w:sz w:val="18"/>
      <w:szCs w:val="18"/>
    </w:rPr>
  </w:style>
  <w:style w:type="character" w:styleId="Hyperlink">
    <w:name w:val="Hyperlink"/>
    <w:basedOn w:val="Absatz-Standardschriftart"/>
    <w:uiPriority w:val="99"/>
    <w:unhideWhenUsed/>
    <w:rPr>
      <w:color w:val="0000FF"/>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Pr>
      <w:rFonts w:asciiTheme="majorHAnsi" w:eastAsiaTheme="majorEastAsia" w:hAnsiTheme="majorHAnsi" w:cstheme="majorBidi"/>
      <w:color w:val="17365D" w:themeColor="text2" w:themeShade="BF"/>
      <w:spacing w:val="5"/>
      <w:kern w:val="28"/>
      <w:sz w:val="52"/>
      <w:szCs w:val="52"/>
    </w:rPr>
  </w:style>
  <w:style w:type="character" w:styleId="IntensiveHervorhebung">
    <w:name w:val="Intense Emphasis"/>
    <w:basedOn w:val="Absatz-Standardschriftart"/>
    <w:uiPriority w:val="21"/>
    <w:qFormat/>
    <w:rPr>
      <w:b/>
      <w:bCs/>
      <w:i/>
      <w:iCs/>
      <w:color w:val="4F81BD" w:themeColor="accent1"/>
    </w:rPr>
  </w:style>
  <w:style w:type="paragraph" w:styleId="KeinLeerraum">
    <w:name w:val="No Spacing"/>
    <w:uiPriority w:val="1"/>
    <w:qFormat/>
    <w:pPr>
      <w:spacing w:after="0" w:line="240" w:lineRule="auto"/>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Untertitel">
    <w:name w:val="Subtitle"/>
    <w:basedOn w:val="Standard"/>
    <w:next w:val="Standard"/>
    <w:link w:val="UntertitelZchn"/>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
      <w:iCs/>
      <w:color w:val="4F81BD" w:themeColor="accent1"/>
      <w:spacing w:val="15"/>
      <w:sz w:val="24"/>
      <w:szCs w:val="24"/>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Fett">
    <w:name w:val="Strong"/>
    <w:basedOn w:val="Absatz-Standardschriftart"/>
    <w:uiPriority w:val="22"/>
    <w:qFormat/>
    <w:rPr>
      <w:b/>
      <w:bCs/>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table" w:styleId="HelleSchattierung">
    <w:name w:val="Light Shading"/>
    <w:basedOn w:val="NormaleTabelle"/>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819">
      <w:bodyDiv w:val="1"/>
      <w:marLeft w:val="0"/>
      <w:marRight w:val="0"/>
      <w:marTop w:val="0"/>
      <w:marBottom w:val="0"/>
      <w:divBdr>
        <w:top w:val="none" w:sz="0" w:space="0" w:color="auto"/>
        <w:left w:val="none" w:sz="0" w:space="0" w:color="auto"/>
        <w:bottom w:val="none" w:sz="0" w:space="0" w:color="auto"/>
        <w:right w:val="none" w:sz="0" w:space="0" w:color="auto"/>
      </w:divBdr>
    </w:div>
    <w:div w:id="19286522">
      <w:bodyDiv w:val="1"/>
      <w:marLeft w:val="0"/>
      <w:marRight w:val="0"/>
      <w:marTop w:val="0"/>
      <w:marBottom w:val="0"/>
      <w:divBdr>
        <w:top w:val="none" w:sz="0" w:space="0" w:color="auto"/>
        <w:left w:val="none" w:sz="0" w:space="0" w:color="auto"/>
        <w:bottom w:val="none" w:sz="0" w:space="0" w:color="auto"/>
        <w:right w:val="none" w:sz="0" w:space="0" w:color="auto"/>
      </w:divBdr>
    </w:div>
    <w:div w:id="76903690">
      <w:bodyDiv w:val="1"/>
      <w:marLeft w:val="0"/>
      <w:marRight w:val="0"/>
      <w:marTop w:val="0"/>
      <w:marBottom w:val="0"/>
      <w:divBdr>
        <w:top w:val="none" w:sz="0" w:space="0" w:color="auto"/>
        <w:left w:val="none" w:sz="0" w:space="0" w:color="auto"/>
        <w:bottom w:val="none" w:sz="0" w:space="0" w:color="auto"/>
        <w:right w:val="none" w:sz="0" w:space="0" w:color="auto"/>
      </w:divBdr>
    </w:div>
    <w:div w:id="117333565">
      <w:bodyDiv w:val="1"/>
      <w:marLeft w:val="0"/>
      <w:marRight w:val="0"/>
      <w:marTop w:val="0"/>
      <w:marBottom w:val="0"/>
      <w:divBdr>
        <w:top w:val="none" w:sz="0" w:space="0" w:color="auto"/>
        <w:left w:val="none" w:sz="0" w:space="0" w:color="auto"/>
        <w:bottom w:val="none" w:sz="0" w:space="0" w:color="auto"/>
        <w:right w:val="none" w:sz="0" w:space="0" w:color="auto"/>
      </w:divBdr>
    </w:div>
    <w:div w:id="151944432">
      <w:bodyDiv w:val="1"/>
      <w:marLeft w:val="0"/>
      <w:marRight w:val="0"/>
      <w:marTop w:val="0"/>
      <w:marBottom w:val="0"/>
      <w:divBdr>
        <w:top w:val="none" w:sz="0" w:space="0" w:color="auto"/>
        <w:left w:val="none" w:sz="0" w:space="0" w:color="auto"/>
        <w:bottom w:val="none" w:sz="0" w:space="0" w:color="auto"/>
        <w:right w:val="none" w:sz="0" w:space="0" w:color="auto"/>
      </w:divBdr>
    </w:div>
    <w:div w:id="220484034">
      <w:bodyDiv w:val="1"/>
      <w:marLeft w:val="0"/>
      <w:marRight w:val="0"/>
      <w:marTop w:val="0"/>
      <w:marBottom w:val="0"/>
      <w:divBdr>
        <w:top w:val="none" w:sz="0" w:space="0" w:color="auto"/>
        <w:left w:val="none" w:sz="0" w:space="0" w:color="auto"/>
        <w:bottom w:val="none" w:sz="0" w:space="0" w:color="auto"/>
        <w:right w:val="none" w:sz="0" w:space="0" w:color="auto"/>
      </w:divBdr>
    </w:div>
    <w:div w:id="224996673">
      <w:bodyDiv w:val="1"/>
      <w:marLeft w:val="0"/>
      <w:marRight w:val="0"/>
      <w:marTop w:val="0"/>
      <w:marBottom w:val="0"/>
      <w:divBdr>
        <w:top w:val="none" w:sz="0" w:space="0" w:color="auto"/>
        <w:left w:val="none" w:sz="0" w:space="0" w:color="auto"/>
        <w:bottom w:val="none" w:sz="0" w:space="0" w:color="auto"/>
        <w:right w:val="none" w:sz="0" w:space="0" w:color="auto"/>
      </w:divBdr>
    </w:div>
    <w:div w:id="378168894">
      <w:bodyDiv w:val="1"/>
      <w:marLeft w:val="0"/>
      <w:marRight w:val="0"/>
      <w:marTop w:val="0"/>
      <w:marBottom w:val="0"/>
      <w:divBdr>
        <w:top w:val="none" w:sz="0" w:space="0" w:color="auto"/>
        <w:left w:val="none" w:sz="0" w:space="0" w:color="auto"/>
        <w:bottom w:val="none" w:sz="0" w:space="0" w:color="auto"/>
        <w:right w:val="none" w:sz="0" w:space="0" w:color="auto"/>
      </w:divBdr>
    </w:div>
    <w:div w:id="401830882">
      <w:bodyDiv w:val="1"/>
      <w:marLeft w:val="0"/>
      <w:marRight w:val="0"/>
      <w:marTop w:val="0"/>
      <w:marBottom w:val="0"/>
      <w:divBdr>
        <w:top w:val="none" w:sz="0" w:space="0" w:color="auto"/>
        <w:left w:val="none" w:sz="0" w:space="0" w:color="auto"/>
        <w:bottom w:val="none" w:sz="0" w:space="0" w:color="auto"/>
        <w:right w:val="none" w:sz="0" w:space="0" w:color="auto"/>
      </w:divBdr>
    </w:div>
    <w:div w:id="414477789">
      <w:bodyDiv w:val="1"/>
      <w:marLeft w:val="0"/>
      <w:marRight w:val="0"/>
      <w:marTop w:val="0"/>
      <w:marBottom w:val="0"/>
      <w:divBdr>
        <w:top w:val="none" w:sz="0" w:space="0" w:color="auto"/>
        <w:left w:val="none" w:sz="0" w:space="0" w:color="auto"/>
        <w:bottom w:val="none" w:sz="0" w:space="0" w:color="auto"/>
        <w:right w:val="none" w:sz="0" w:space="0" w:color="auto"/>
      </w:divBdr>
    </w:div>
    <w:div w:id="444421881">
      <w:bodyDiv w:val="1"/>
      <w:marLeft w:val="0"/>
      <w:marRight w:val="0"/>
      <w:marTop w:val="0"/>
      <w:marBottom w:val="0"/>
      <w:divBdr>
        <w:top w:val="none" w:sz="0" w:space="0" w:color="auto"/>
        <w:left w:val="none" w:sz="0" w:space="0" w:color="auto"/>
        <w:bottom w:val="none" w:sz="0" w:space="0" w:color="auto"/>
        <w:right w:val="none" w:sz="0" w:space="0" w:color="auto"/>
      </w:divBdr>
    </w:div>
    <w:div w:id="539978981">
      <w:bodyDiv w:val="1"/>
      <w:marLeft w:val="0"/>
      <w:marRight w:val="0"/>
      <w:marTop w:val="0"/>
      <w:marBottom w:val="0"/>
      <w:divBdr>
        <w:top w:val="none" w:sz="0" w:space="0" w:color="auto"/>
        <w:left w:val="none" w:sz="0" w:space="0" w:color="auto"/>
        <w:bottom w:val="none" w:sz="0" w:space="0" w:color="auto"/>
        <w:right w:val="none" w:sz="0" w:space="0" w:color="auto"/>
      </w:divBdr>
    </w:div>
    <w:div w:id="591862927">
      <w:bodyDiv w:val="1"/>
      <w:marLeft w:val="0"/>
      <w:marRight w:val="0"/>
      <w:marTop w:val="0"/>
      <w:marBottom w:val="0"/>
      <w:divBdr>
        <w:top w:val="none" w:sz="0" w:space="0" w:color="auto"/>
        <w:left w:val="none" w:sz="0" w:space="0" w:color="auto"/>
        <w:bottom w:val="none" w:sz="0" w:space="0" w:color="auto"/>
        <w:right w:val="none" w:sz="0" w:space="0" w:color="auto"/>
      </w:divBdr>
    </w:div>
    <w:div w:id="624772967">
      <w:bodyDiv w:val="1"/>
      <w:marLeft w:val="0"/>
      <w:marRight w:val="0"/>
      <w:marTop w:val="0"/>
      <w:marBottom w:val="0"/>
      <w:divBdr>
        <w:top w:val="none" w:sz="0" w:space="0" w:color="auto"/>
        <w:left w:val="none" w:sz="0" w:space="0" w:color="auto"/>
        <w:bottom w:val="none" w:sz="0" w:space="0" w:color="auto"/>
        <w:right w:val="none" w:sz="0" w:space="0" w:color="auto"/>
      </w:divBdr>
    </w:div>
    <w:div w:id="657272813">
      <w:bodyDiv w:val="1"/>
      <w:marLeft w:val="0"/>
      <w:marRight w:val="0"/>
      <w:marTop w:val="0"/>
      <w:marBottom w:val="0"/>
      <w:divBdr>
        <w:top w:val="none" w:sz="0" w:space="0" w:color="auto"/>
        <w:left w:val="none" w:sz="0" w:space="0" w:color="auto"/>
        <w:bottom w:val="none" w:sz="0" w:space="0" w:color="auto"/>
        <w:right w:val="none" w:sz="0" w:space="0" w:color="auto"/>
      </w:divBdr>
    </w:div>
    <w:div w:id="737287874">
      <w:bodyDiv w:val="1"/>
      <w:marLeft w:val="0"/>
      <w:marRight w:val="0"/>
      <w:marTop w:val="0"/>
      <w:marBottom w:val="0"/>
      <w:divBdr>
        <w:top w:val="none" w:sz="0" w:space="0" w:color="auto"/>
        <w:left w:val="none" w:sz="0" w:space="0" w:color="auto"/>
        <w:bottom w:val="none" w:sz="0" w:space="0" w:color="auto"/>
        <w:right w:val="none" w:sz="0" w:space="0" w:color="auto"/>
      </w:divBdr>
    </w:div>
    <w:div w:id="770517360">
      <w:bodyDiv w:val="1"/>
      <w:marLeft w:val="0"/>
      <w:marRight w:val="0"/>
      <w:marTop w:val="0"/>
      <w:marBottom w:val="0"/>
      <w:divBdr>
        <w:top w:val="none" w:sz="0" w:space="0" w:color="auto"/>
        <w:left w:val="none" w:sz="0" w:space="0" w:color="auto"/>
        <w:bottom w:val="none" w:sz="0" w:space="0" w:color="auto"/>
        <w:right w:val="none" w:sz="0" w:space="0" w:color="auto"/>
      </w:divBdr>
    </w:div>
    <w:div w:id="857743098">
      <w:bodyDiv w:val="1"/>
      <w:marLeft w:val="0"/>
      <w:marRight w:val="0"/>
      <w:marTop w:val="0"/>
      <w:marBottom w:val="0"/>
      <w:divBdr>
        <w:top w:val="none" w:sz="0" w:space="0" w:color="auto"/>
        <w:left w:val="none" w:sz="0" w:space="0" w:color="auto"/>
        <w:bottom w:val="none" w:sz="0" w:space="0" w:color="auto"/>
        <w:right w:val="none" w:sz="0" w:space="0" w:color="auto"/>
      </w:divBdr>
    </w:div>
    <w:div w:id="870923203">
      <w:bodyDiv w:val="1"/>
      <w:marLeft w:val="0"/>
      <w:marRight w:val="0"/>
      <w:marTop w:val="0"/>
      <w:marBottom w:val="0"/>
      <w:divBdr>
        <w:top w:val="none" w:sz="0" w:space="0" w:color="auto"/>
        <w:left w:val="none" w:sz="0" w:space="0" w:color="auto"/>
        <w:bottom w:val="none" w:sz="0" w:space="0" w:color="auto"/>
        <w:right w:val="none" w:sz="0" w:space="0" w:color="auto"/>
      </w:divBdr>
    </w:div>
    <w:div w:id="910429693">
      <w:bodyDiv w:val="1"/>
      <w:marLeft w:val="0"/>
      <w:marRight w:val="0"/>
      <w:marTop w:val="0"/>
      <w:marBottom w:val="0"/>
      <w:divBdr>
        <w:top w:val="none" w:sz="0" w:space="0" w:color="auto"/>
        <w:left w:val="none" w:sz="0" w:space="0" w:color="auto"/>
        <w:bottom w:val="none" w:sz="0" w:space="0" w:color="auto"/>
        <w:right w:val="none" w:sz="0" w:space="0" w:color="auto"/>
      </w:divBdr>
    </w:div>
    <w:div w:id="951281988">
      <w:bodyDiv w:val="1"/>
      <w:marLeft w:val="0"/>
      <w:marRight w:val="0"/>
      <w:marTop w:val="0"/>
      <w:marBottom w:val="0"/>
      <w:divBdr>
        <w:top w:val="none" w:sz="0" w:space="0" w:color="auto"/>
        <w:left w:val="none" w:sz="0" w:space="0" w:color="auto"/>
        <w:bottom w:val="none" w:sz="0" w:space="0" w:color="auto"/>
        <w:right w:val="none" w:sz="0" w:space="0" w:color="auto"/>
      </w:divBdr>
    </w:div>
    <w:div w:id="960764594">
      <w:bodyDiv w:val="1"/>
      <w:marLeft w:val="0"/>
      <w:marRight w:val="0"/>
      <w:marTop w:val="0"/>
      <w:marBottom w:val="0"/>
      <w:divBdr>
        <w:top w:val="none" w:sz="0" w:space="0" w:color="auto"/>
        <w:left w:val="none" w:sz="0" w:space="0" w:color="auto"/>
        <w:bottom w:val="none" w:sz="0" w:space="0" w:color="auto"/>
        <w:right w:val="none" w:sz="0" w:space="0" w:color="auto"/>
      </w:divBdr>
    </w:div>
    <w:div w:id="963391256">
      <w:bodyDiv w:val="1"/>
      <w:marLeft w:val="0"/>
      <w:marRight w:val="0"/>
      <w:marTop w:val="0"/>
      <w:marBottom w:val="0"/>
      <w:divBdr>
        <w:top w:val="none" w:sz="0" w:space="0" w:color="auto"/>
        <w:left w:val="none" w:sz="0" w:space="0" w:color="auto"/>
        <w:bottom w:val="none" w:sz="0" w:space="0" w:color="auto"/>
        <w:right w:val="none" w:sz="0" w:space="0" w:color="auto"/>
      </w:divBdr>
    </w:div>
    <w:div w:id="978922864">
      <w:bodyDiv w:val="1"/>
      <w:marLeft w:val="0"/>
      <w:marRight w:val="0"/>
      <w:marTop w:val="0"/>
      <w:marBottom w:val="0"/>
      <w:divBdr>
        <w:top w:val="none" w:sz="0" w:space="0" w:color="auto"/>
        <w:left w:val="none" w:sz="0" w:space="0" w:color="auto"/>
        <w:bottom w:val="none" w:sz="0" w:space="0" w:color="auto"/>
        <w:right w:val="none" w:sz="0" w:space="0" w:color="auto"/>
      </w:divBdr>
    </w:div>
    <w:div w:id="996418233">
      <w:bodyDiv w:val="1"/>
      <w:marLeft w:val="0"/>
      <w:marRight w:val="0"/>
      <w:marTop w:val="0"/>
      <w:marBottom w:val="0"/>
      <w:divBdr>
        <w:top w:val="none" w:sz="0" w:space="0" w:color="auto"/>
        <w:left w:val="none" w:sz="0" w:space="0" w:color="auto"/>
        <w:bottom w:val="none" w:sz="0" w:space="0" w:color="auto"/>
        <w:right w:val="none" w:sz="0" w:space="0" w:color="auto"/>
      </w:divBdr>
    </w:div>
    <w:div w:id="1016225343">
      <w:bodyDiv w:val="1"/>
      <w:marLeft w:val="0"/>
      <w:marRight w:val="0"/>
      <w:marTop w:val="0"/>
      <w:marBottom w:val="0"/>
      <w:divBdr>
        <w:top w:val="none" w:sz="0" w:space="0" w:color="auto"/>
        <w:left w:val="none" w:sz="0" w:space="0" w:color="auto"/>
        <w:bottom w:val="none" w:sz="0" w:space="0" w:color="auto"/>
        <w:right w:val="none" w:sz="0" w:space="0" w:color="auto"/>
      </w:divBdr>
    </w:div>
    <w:div w:id="1016351911">
      <w:bodyDiv w:val="1"/>
      <w:marLeft w:val="0"/>
      <w:marRight w:val="0"/>
      <w:marTop w:val="0"/>
      <w:marBottom w:val="0"/>
      <w:divBdr>
        <w:top w:val="none" w:sz="0" w:space="0" w:color="auto"/>
        <w:left w:val="none" w:sz="0" w:space="0" w:color="auto"/>
        <w:bottom w:val="none" w:sz="0" w:space="0" w:color="auto"/>
        <w:right w:val="none" w:sz="0" w:space="0" w:color="auto"/>
      </w:divBdr>
    </w:div>
    <w:div w:id="1029069569">
      <w:bodyDiv w:val="1"/>
      <w:marLeft w:val="0"/>
      <w:marRight w:val="0"/>
      <w:marTop w:val="0"/>
      <w:marBottom w:val="0"/>
      <w:divBdr>
        <w:top w:val="none" w:sz="0" w:space="0" w:color="auto"/>
        <w:left w:val="none" w:sz="0" w:space="0" w:color="auto"/>
        <w:bottom w:val="none" w:sz="0" w:space="0" w:color="auto"/>
        <w:right w:val="none" w:sz="0" w:space="0" w:color="auto"/>
      </w:divBdr>
      <w:divsChild>
        <w:div w:id="570509587">
          <w:marLeft w:val="0"/>
          <w:marRight w:val="0"/>
          <w:marTop w:val="0"/>
          <w:marBottom w:val="0"/>
          <w:divBdr>
            <w:top w:val="none" w:sz="0" w:space="0" w:color="auto"/>
            <w:left w:val="none" w:sz="0" w:space="0" w:color="auto"/>
            <w:bottom w:val="none" w:sz="0" w:space="0" w:color="auto"/>
            <w:right w:val="none" w:sz="0" w:space="0" w:color="auto"/>
          </w:divBdr>
        </w:div>
        <w:div w:id="2081177037">
          <w:marLeft w:val="0"/>
          <w:marRight w:val="0"/>
          <w:marTop w:val="0"/>
          <w:marBottom w:val="0"/>
          <w:divBdr>
            <w:top w:val="none" w:sz="0" w:space="0" w:color="auto"/>
            <w:left w:val="none" w:sz="0" w:space="0" w:color="auto"/>
            <w:bottom w:val="none" w:sz="0" w:space="0" w:color="auto"/>
            <w:right w:val="none" w:sz="0" w:space="0" w:color="auto"/>
          </w:divBdr>
        </w:div>
        <w:div w:id="2106917329">
          <w:marLeft w:val="0"/>
          <w:marRight w:val="0"/>
          <w:marTop w:val="0"/>
          <w:marBottom w:val="0"/>
          <w:divBdr>
            <w:top w:val="none" w:sz="0" w:space="0" w:color="auto"/>
            <w:left w:val="none" w:sz="0" w:space="0" w:color="auto"/>
            <w:bottom w:val="none" w:sz="0" w:space="0" w:color="auto"/>
            <w:right w:val="none" w:sz="0" w:space="0" w:color="auto"/>
          </w:divBdr>
        </w:div>
        <w:div w:id="916018597">
          <w:marLeft w:val="0"/>
          <w:marRight w:val="0"/>
          <w:marTop w:val="0"/>
          <w:marBottom w:val="0"/>
          <w:divBdr>
            <w:top w:val="none" w:sz="0" w:space="0" w:color="auto"/>
            <w:left w:val="none" w:sz="0" w:space="0" w:color="auto"/>
            <w:bottom w:val="none" w:sz="0" w:space="0" w:color="auto"/>
            <w:right w:val="none" w:sz="0" w:space="0" w:color="auto"/>
          </w:divBdr>
        </w:div>
        <w:div w:id="1169953406">
          <w:marLeft w:val="0"/>
          <w:marRight w:val="0"/>
          <w:marTop w:val="0"/>
          <w:marBottom w:val="0"/>
          <w:divBdr>
            <w:top w:val="none" w:sz="0" w:space="0" w:color="auto"/>
            <w:left w:val="none" w:sz="0" w:space="0" w:color="auto"/>
            <w:bottom w:val="none" w:sz="0" w:space="0" w:color="auto"/>
            <w:right w:val="none" w:sz="0" w:space="0" w:color="auto"/>
          </w:divBdr>
        </w:div>
        <w:div w:id="24908632">
          <w:marLeft w:val="0"/>
          <w:marRight w:val="0"/>
          <w:marTop w:val="0"/>
          <w:marBottom w:val="0"/>
          <w:divBdr>
            <w:top w:val="none" w:sz="0" w:space="0" w:color="auto"/>
            <w:left w:val="none" w:sz="0" w:space="0" w:color="auto"/>
            <w:bottom w:val="none" w:sz="0" w:space="0" w:color="auto"/>
            <w:right w:val="none" w:sz="0" w:space="0" w:color="auto"/>
          </w:divBdr>
        </w:div>
        <w:div w:id="930818846">
          <w:marLeft w:val="0"/>
          <w:marRight w:val="0"/>
          <w:marTop w:val="0"/>
          <w:marBottom w:val="0"/>
          <w:divBdr>
            <w:top w:val="none" w:sz="0" w:space="0" w:color="auto"/>
            <w:left w:val="none" w:sz="0" w:space="0" w:color="auto"/>
            <w:bottom w:val="none" w:sz="0" w:space="0" w:color="auto"/>
            <w:right w:val="none" w:sz="0" w:space="0" w:color="auto"/>
          </w:divBdr>
        </w:div>
      </w:divsChild>
    </w:div>
    <w:div w:id="1029791789">
      <w:bodyDiv w:val="1"/>
      <w:marLeft w:val="0"/>
      <w:marRight w:val="0"/>
      <w:marTop w:val="0"/>
      <w:marBottom w:val="0"/>
      <w:divBdr>
        <w:top w:val="none" w:sz="0" w:space="0" w:color="auto"/>
        <w:left w:val="none" w:sz="0" w:space="0" w:color="auto"/>
        <w:bottom w:val="none" w:sz="0" w:space="0" w:color="auto"/>
        <w:right w:val="none" w:sz="0" w:space="0" w:color="auto"/>
      </w:divBdr>
    </w:div>
    <w:div w:id="1092050002">
      <w:bodyDiv w:val="1"/>
      <w:marLeft w:val="0"/>
      <w:marRight w:val="0"/>
      <w:marTop w:val="0"/>
      <w:marBottom w:val="0"/>
      <w:divBdr>
        <w:top w:val="none" w:sz="0" w:space="0" w:color="auto"/>
        <w:left w:val="none" w:sz="0" w:space="0" w:color="auto"/>
        <w:bottom w:val="none" w:sz="0" w:space="0" w:color="auto"/>
        <w:right w:val="none" w:sz="0" w:space="0" w:color="auto"/>
      </w:divBdr>
    </w:div>
    <w:div w:id="1144543078">
      <w:bodyDiv w:val="1"/>
      <w:marLeft w:val="0"/>
      <w:marRight w:val="0"/>
      <w:marTop w:val="0"/>
      <w:marBottom w:val="0"/>
      <w:divBdr>
        <w:top w:val="none" w:sz="0" w:space="0" w:color="auto"/>
        <w:left w:val="none" w:sz="0" w:space="0" w:color="auto"/>
        <w:bottom w:val="none" w:sz="0" w:space="0" w:color="auto"/>
        <w:right w:val="none" w:sz="0" w:space="0" w:color="auto"/>
      </w:divBdr>
    </w:div>
    <w:div w:id="1183663134">
      <w:bodyDiv w:val="1"/>
      <w:marLeft w:val="0"/>
      <w:marRight w:val="0"/>
      <w:marTop w:val="0"/>
      <w:marBottom w:val="0"/>
      <w:divBdr>
        <w:top w:val="none" w:sz="0" w:space="0" w:color="auto"/>
        <w:left w:val="none" w:sz="0" w:space="0" w:color="auto"/>
        <w:bottom w:val="none" w:sz="0" w:space="0" w:color="auto"/>
        <w:right w:val="none" w:sz="0" w:space="0" w:color="auto"/>
      </w:divBdr>
    </w:div>
    <w:div w:id="1226989846">
      <w:bodyDiv w:val="1"/>
      <w:marLeft w:val="0"/>
      <w:marRight w:val="0"/>
      <w:marTop w:val="0"/>
      <w:marBottom w:val="0"/>
      <w:divBdr>
        <w:top w:val="none" w:sz="0" w:space="0" w:color="auto"/>
        <w:left w:val="none" w:sz="0" w:space="0" w:color="auto"/>
        <w:bottom w:val="none" w:sz="0" w:space="0" w:color="auto"/>
        <w:right w:val="none" w:sz="0" w:space="0" w:color="auto"/>
      </w:divBdr>
    </w:div>
    <w:div w:id="1286809904">
      <w:bodyDiv w:val="1"/>
      <w:marLeft w:val="0"/>
      <w:marRight w:val="0"/>
      <w:marTop w:val="0"/>
      <w:marBottom w:val="0"/>
      <w:divBdr>
        <w:top w:val="none" w:sz="0" w:space="0" w:color="auto"/>
        <w:left w:val="none" w:sz="0" w:space="0" w:color="auto"/>
        <w:bottom w:val="none" w:sz="0" w:space="0" w:color="auto"/>
        <w:right w:val="none" w:sz="0" w:space="0" w:color="auto"/>
      </w:divBdr>
    </w:div>
    <w:div w:id="1293755980">
      <w:bodyDiv w:val="1"/>
      <w:marLeft w:val="0"/>
      <w:marRight w:val="0"/>
      <w:marTop w:val="0"/>
      <w:marBottom w:val="0"/>
      <w:divBdr>
        <w:top w:val="none" w:sz="0" w:space="0" w:color="auto"/>
        <w:left w:val="none" w:sz="0" w:space="0" w:color="auto"/>
        <w:bottom w:val="none" w:sz="0" w:space="0" w:color="auto"/>
        <w:right w:val="none" w:sz="0" w:space="0" w:color="auto"/>
      </w:divBdr>
    </w:div>
    <w:div w:id="1294754250">
      <w:bodyDiv w:val="1"/>
      <w:marLeft w:val="0"/>
      <w:marRight w:val="0"/>
      <w:marTop w:val="0"/>
      <w:marBottom w:val="0"/>
      <w:divBdr>
        <w:top w:val="none" w:sz="0" w:space="0" w:color="auto"/>
        <w:left w:val="none" w:sz="0" w:space="0" w:color="auto"/>
        <w:bottom w:val="none" w:sz="0" w:space="0" w:color="auto"/>
        <w:right w:val="none" w:sz="0" w:space="0" w:color="auto"/>
      </w:divBdr>
    </w:div>
    <w:div w:id="1346445653">
      <w:bodyDiv w:val="1"/>
      <w:marLeft w:val="0"/>
      <w:marRight w:val="0"/>
      <w:marTop w:val="0"/>
      <w:marBottom w:val="0"/>
      <w:divBdr>
        <w:top w:val="none" w:sz="0" w:space="0" w:color="auto"/>
        <w:left w:val="none" w:sz="0" w:space="0" w:color="auto"/>
        <w:bottom w:val="none" w:sz="0" w:space="0" w:color="auto"/>
        <w:right w:val="none" w:sz="0" w:space="0" w:color="auto"/>
      </w:divBdr>
    </w:div>
    <w:div w:id="1365669681">
      <w:bodyDiv w:val="1"/>
      <w:marLeft w:val="0"/>
      <w:marRight w:val="0"/>
      <w:marTop w:val="0"/>
      <w:marBottom w:val="0"/>
      <w:divBdr>
        <w:top w:val="none" w:sz="0" w:space="0" w:color="auto"/>
        <w:left w:val="none" w:sz="0" w:space="0" w:color="auto"/>
        <w:bottom w:val="none" w:sz="0" w:space="0" w:color="auto"/>
        <w:right w:val="none" w:sz="0" w:space="0" w:color="auto"/>
      </w:divBdr>
    </w:div>
    <w:div w:id="1397582874">
      <w:bodyDiv w:val="1"/>
      <w:marLeft w:val="0"/>
      <w:marRight w:val="0"/>
      <w:marTop w:val="0"/>
      <w:marBottom w:val="0"/>
      <w:divBdr>
        <w:top w:val="none" w:sz="0" w:space="0" w:color="auto"/>
        <w:left w:val="none" w:sz="0" w:space="0" w:color="auto"/>
        <w:bottom w:val="none" w:sz="0" w:space="0" w:color="auto"/>
        <w:right w:val="none" w:sz="0" w:space="0" w:color="auto"/>
      </w:divBdr>
    </w:div>
    <w:div w:id="1397583065">
      <w:bodyDiv w:val="1"/>
      <w:marLeft w:val="0"/>
      <w:marRight w:val="0"/>
      <w:marTop w:val="0"/>
      <w:marBottom w:val="0"/>
      <w:divBdr>
        <w:top w:val="none" w:sz="0" w:space="0" w:color="auto"/>
        <w:left w:val="none" w:sz="0" w:space="0" w:color="auto"/>
        <w:bottom w:val="none" w:sz="0" w:space="0" w:color="auto"/>
        <w:right w:val="none" w:sz="0" w:space="0" w:color="auto"/>
      </w:divBdr>
    </w:div>
    <w:div w:id="1447696073">
      <w:bodyDiv w:val="1"/>
      <w:marLeft w:val="0"/>
      <w:marRight w:val="0"/>
      <w:marTop w:val="0"/>
      <w:marBottom w:val="0"/>
      <w:divBdr>
        <w:top w:val="none" w:sz="0" w:space="0" w:color="auto"/>
        <w:left w:val="none" w:sz="0" w:space="0" w:color="auto"/>
        <w:bottom w:val="none" w:sz="0" w:space="0" w:color="auto"/>
        <w:right w:val="none" w:sz="0" w:space="0" w:color="auto"/>
      </w:divBdr>
    </w:div>
    <w:div w:id="1449734132">
      <w:bodyDiv w:val="1"/>
      <w:marLeft w:val="0"/>
      <w:marRight w:val="0"/>
      <w:marTop w:val="0"/>
      <w:marBottom w:val="0"/>
      <w:divBdr>
        <w:top w:val="none" w:sz="0" w:space="0" w:color="auto"/>
        <w:left w:val="none" w:sz="0" w:space="0" w:color="auto"/>
        <w:bottom w:val="none" w:sz="0" w:space="0" w:color="auto"/>
        <w:right w:val="none" w:sz="0" w:space="0" w:color="auto"/>
      </w:divBdr>
    </w:div>
    <w:div w:id="1476213931">
      <w:bodyDiv w:val="1"/>
      <w:marLeft w:val="0"/>
      <w:marRight w:val="0"/>
      <w:marTop w:val="0"/>
      <w:marBottom w:val="0"/>
      <w:divBdr>
        <w:top w:val="none" w:sz="0" w:space="0" w:color="auto"/>
        <w:left w:val="none" w:sz="0" w:space="0" w:color="auto"/>
        <w:bottom w:val="none" w:sz="0" w:space="0" w:color="auto"/>
        <w:right w:val="none" w:sz="0" w:space="0" w:color="auto"/>
      </w:divBdr>
    </w:div>
    <w:div w:id="1501694588">
      <w:bodyDiv w:val="1"/>
      <w:marLeft w:val="0"/>
      <w:marRight w:val="0"/>
      <w:marTop w:val="0"/>
      <w:marBottom w:val="0"/>
      <w:divBdr>
        <w:top w:val="none" w:sz="0" w:space="0" w:color="auto"/>
        <w:left w:val="none" w:sz="0" w:space="0" w:color="auto"/>
        <w:bottom w:val="none" w:sz="0" w:space="0" w:color="auto"/>
        <w:right w:val="none" w:sz="0" w:space="0" w:color="auto"/>
      </w:divBdr>
    </w:div>
    <w:div w:id="1549952178">
      <w:bodyDiv w:val="1"/>
      <w:marLeft w:val="0"/>
      <w:marRight w:val="0"/>
      <w:marTop w:val="0"/>
      <w:marBottom w:val="0"/>
      <w:divBdr>
        <w:top w:val="none" w:sz="0" w:space="0" w:color="auto"/>
        <w:left w:val="none" w:sz="0" w:space="0" w:color="auto"/>
        <w:bottom w:val="none" w:sz="0" w:space="0" w:color="auto"/>
        <w:right w:val="none" w:sz="0" w:space="0" w:color="auto"/>
      </w:divBdr>
    </w:div>
    <w:div w:id="1554000122">
      <w:bodyDiv w:val="1"/>
      <w:marLeft w:val="0"/>
      <w:marRight w:val="0"/>
      <w:marTop w:val="0"/>
      <w:marBottom w:val="0"/>
      <w:divBdr>
        <w:top w:val="none" w:sz="0" w:space="0" w:color="auto"/>
        <w:left w:val="none" w:sz="0" w:space="0" w:color="auto"/>
        <w:bottom w:val="none" w:sz="0" w:space="0" w:color="auto"/>
        <w:right w:val="none" w:sz="0" w:space="0" w:color="auto"/>
      </w:divBdr>
    </w:div>
    <w:div w:id="1584139759">
      <w:bodyDiv w:val="1"/>
      <w:marLeft w:val="0"/>
      <w:marRight w:val="0"/>
      <w:marTop w:val="0"/>
      <w:marBottom w:val="0"/>
      <w:divBdr>
        <w:top w:val="none" w:sz="0" w:space="0" w:color="auto"/>
        <w:left w:val="none" w:sz="0" w:space="0" w:color="auto"/>
        <w:bottom w:val="none" w:sz="0" w:space="0" w:color="auto"/>
        <w:right w:val="none" w:sz="0" w:space="0" w:color="auto"/>
      </w:divBdr>
    </w:div>
    <w:div w:id="1678144922">
      <w:bodyDiv w:val="1"/>
      <w:marLeft w:val="0"/>
      <w:marRight w:val="0"/>
      <w:marTop w:val="0"/>
      <w:marBottom w:val="0"/>
      <w:divBdr>
        <w:top w:val="none" w:sz="0" w:space="0" w:color="auto"/>
        <w:left w:val="none" w:sz="0" w:space="0" w:color="auto"/>
        <w:bottom w:val="none" w:sz="0" w:space="0" w:color="auto"/>
        <w:right w:val="none" w:sz="0" w:space="0" w:color="auto"/>
      </w:divBdr>
    </w:div>
    <w:div w:id="1682470082">
      <w:bodyDiv w:val="1"/>
      <w:marLeft w:val="0"/>
      <w:marRight w:val="0"/>
      <w:marTop w:val="0"/>
      <w:marBottom w:val="0"/>
      <w:divBdr>
        <w:top w:val="none" w:sz="0" w:space="0" w:color="auto"/>
        <w:left w:val="none" w:sz="0" w:space="0" w:color="auto"/>
        <w:bottom w:val="none" w:sz="0" w:space="0" w:color="auto"/>
        <w:right w:val="none" w:sz="0" w:space="0" w:color="auto"/>
      </w:divBdr>
    </w:div>
    <w:div w:id="1701394892">
      <w:bodyDiv w:val="1"/>
      <w:marLeft w:val="0"/>
      <w:marRight w:val="0"/>
      <w:marTop w:val="0"/>
      <w:marBottom w:val="0"/>
      <w:divBdr>
        <w:top w:val="none" w:sz="0" w:space="0" w:color="auto"/>
        <w:left w:val="none" w:sz="0" w:space="0" w:color="auto"/>
        <w:bottom w:val="none" w:sz="0" w:space="0" w:color="auto"/>
        <w:right w:val="none" w:sz="0" w:space="0" w:color="auto"/>
      </w:divBdr>
    </w:div>
    <w:div w:id="1731341521">
      <w:bodyDiv w:val="1"/>
      <w:marLeft w:val="0"/>
      <w:marRight w:val="0"/>
      <w:marTop w:val="0"/>
      <w:marBottom w:val="0"/>
      <w:divBdr>
        <w:top w:val="none" w:sz="0" w:space="0" w:color="auto"/>
        <w:left w:val="none" w:sz="0" w:space="0" w:color="auto"/>
        <w:bottom w:val="none" w:sz="0" w:space="0" w:color="auto"/>
        <w:right w:val="none" w:sz="0" w:space="0" w:color="auto"/>
      </w:divBdr>
    </w:div>
    <w:div w:id="1743139785">
      <w:bodyDiv w:val="1"/>
      <w:marLeft w:val="0"/>
      <w:marRight w:val="0"/>
      <w:marTop w:val="0"/>
      <w:marBottom w:val="0"/>
      <w:divBdr>
        <w:top w:val="none" w:sz="0" w:space="0" w:color="auto"/>
        <w:left w:val="none" w:sz="0" w:space="0" w:color="auto"/>
        <w:bottom w:val="none" w:sz="0" w:space="0" w:color="auto"/>
        <w:right w:val="none" w:sz="0" w:space="0" w:color="auto"/>
      </w:divBdr>
    </w:div>
    <w:div w:id="1855264234">
      <w:bodyDiv w:val="1"/>
      <w:marLeft w:val="0"/>
      <w:marRight w:val="0"/>
      <w:marTop w:val="0"/>
      <w:marBottom w:val="0"/>
      <w:divBdr>
        <w:top w:val="none" w:sz="0" w:space="0" w:color="auto"/>
        <w:left w:val="none" w:sz="0" w:space="0" w:color="auto"/>
        <w:bottom w:val="none" w:sz="0" w:space="0" w:color="auto"/>
        <w:right w:val="none" w:sz="0" w:space="0" w:color="auto"/>
      </w:divBdr>
    </w:div>
    <w:div w:id="1858809303">
      <w:bodyDiv w:val="1"/>
      <w:marLeft w:val="0"/>
      <w:marRight w:val="0"/>
      <w:marTop w:val="0"/>
      <w:marBottom w:val="0"/>
      <w:divBdr>
        <w:top w:val="none" w:sz="0" w:space="0" w:color="auto"/>
        <w:left w:val="none" w:sz="0" w:space="0" w:color="auto"/>
        <w:bottom w:val="none" w:sz="0" w:space="0" w:color="auto"/>
        <w:right w:val="none" w:sz="0" w:space="0" w:color="auto"/>
      </w:divBdr>
    </w:div>
    <w:div w:id="1945385485">
      <w:bodyDiv w:val="1"/>
      <w:marLeft w:val="0"/>
      <w:marRight w:val="0"/>
      <w:marTop w:val="0"/>
      <w:marBottom w:val="0"/>
      <w:divBdr>
        <w:top w:val="none" w:sz="0" w:space="0" w:color="auto"/>
        <w:left w:val="none" w:sz="0" w:space="0" w:color="auto"/>
        <w:bottom w:val="none" w:sz="0" w:space="0" w:color="auto"/>
        <w:right w:val="none" w:sz="0" w:space="0" w:color="auto"/>
      </w:divBdr>
    </w:div>
    <w:div w:id="2012367961">
      <w:bodyDiv w:val="1"/>
      <w:marLeft w:val="0"/>
      <w:marRight w:val="0"/>
      <w:marTop w:val="0"/>
      <w:marBottom w:val="0"/>
      <w:divBdr>
        <w:top w:val="none" w:sz="0" w:space="0" w:color="auto"/>
        <w:left w:val="none" w:sz="0" w:space="0" w:color="auto"/>
        <w:bottom w:val="none" w:sz="0" w:space="0" w:color="auto"/>
        <w:right w:val="none" w:sz="0" w:space="0" w:color="auto"/>
      </w:divBdr>
    </w:div>
    <w:div w:id="2015180487">
      <w:bodyDiv w:val="1"/>
      <w:marLeft w:val="0"/>
      <w:marRight w:val="0"/>
      <w:marTop w:val="0"/>
      <w:marBottom w:val="0"/>
      <w:divBdr>
        <w:top w:val="none" w:sz="0" w:space="0" w:color="auto"/>
        <w:left w:val="none" w:sz="0" w:space="0" w:color="auto"/>
        <w:bottom w:val="none" w:sz="0" w:space="0" w:color="auto"/>
        <w:right w:val="none" w:sz="0" w:space="0" w:color="auto"/>
      </w:divBdr>
    </w:div>
    <w:div w:id="21349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F889E-A95C-4388-AC91-95E6E902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Wilking, Hendrik;KroegerS@rki.de</dc:creator>
  <cp:lastModifiedBy>Ahrens, Jacqueline</cp:lastModifiedBy>
  <cp:revision>9</cp:revision>
  <cp:lastPrinted>2021-12-01T08:06:00Z</cp:lastPrinted>
  <dcterms:created xsi:type="dcterms:W3CDTF">2021-12-01T07:45:00Z</dcterms:created>
  <dcterms:modified xsi:type="dcterms:W3CDTF">2021-12-01T09:26:00Z</dcterms:modified>
</cp:coreProperties>
</file>