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</w:pPr>
      <w:r>
        <w:t>Fragestellung: kritische Infrastrukturen und deren Betrieb bei hohem Aufkommen von Infizierten.</w:t>
      </w:r>
    </w:p>
    <w:p>
      <w:pPr>
        <w:pStyle w:val="NurText"/>
      </w:pPr>
      <w:r>
        <w:t>Es muss differenziert werden in drei Bereiche, die relevant sind:</w:t>
      </w:r>
    </w:p>
    <w:p>
      <w:pPr>
        <w:pStyle w:val="NurText"/>
        <w:numPr>
          <w:ilvl w:val="0"/>
          <w:numId w:val="1"/>
        </w:numPr>
      </w:pPr>
      <w:r>
        <w:t>Kritische Infrastruktur (</w:t>
      </w:r>
      <w:proofErr w:type="spellStart"/>
      <w:r>
        <w:t>KritIs</w:t>
      </w:r>
      <w:proofErr w:type="spellEnd"/>
      <w:r>
        <w:t>)</w:t>
      </w:r>
    </w:p>
    <w:p>
      <w:pPr>
        <w:pStyle w:val="NurText"/>
        <w:numPr>
          <w:ilvl w:val="0"/>
          <w:numId w:val="1"/>
        </w:numPr>
      </w:pPr>
      <w:r>
        <w:t>Krankenhäuser</w:t>
      </w:r>
    </w:p>
    <w:p>
      <w:pPr>
        <w:pStyle w:val="NurText"/>
        <w:numPr>
          <w:ilvl w:val="0"/>
          <w:numId w:val="1"/>
        </w:numPr>
      </w:pPr>
      <w:r>
        <w:t>Altenheime</w:t>
      </w:r>
    </w:p>
    <w:p>
      <w:pPr>
        <w:pStyle w:val="NurText"/>
      </w:pPr>
      <w:r>
        <w:t>Zu allen Bereichen liegen Papiere vor</w:t>
      </w:r>
      <w:r>
        <w:rPr>
          <w:color w:val="000000"/>
        </w:rPr>
        <w:t>, die zurzeit nicht aktiv sind (</w:t>
      </w:r>
      <w:proofErr w:type="spellStart"/>
      <w:r>
        <w:rPr>
          <w:color w:val="000000"/>
        </w:rPr>
        <w:t>dh</w:t>
      </w:r>
      <w:proofErr w:type="spellEnd"/>
      <w:r>
        <w:rPr>
          <w:color w:val="000000"/>
        </w:rPr>
        <w:t xml:space="preserve"> die Papiere sind nicht im Netz, weil in den letzten Monaten als nicht notwendig erachtet)</w:t>
      </w:r>
      <w:r>
        <w:t>.</w:t>
      </w:r>
    </w:p>
    <w:p>
      <w:pPr>
        <w:pStyle w:val="NurText"/>
      </w:pPr>
      <w:r>
        <w:t>Falls das Thema Ausnahmen von Quarantänen und Verkürzung von Isolation für bestimmte Bereiche wieder akut wird (</w:t>
      </w:r>
      <w:proofErr w:type="spellStart"/>
      <w:r>
        <w:t>zB</w:t>
      </w:r>
      <w:proofErr w:type="spellEnd"/>
      <w:r>
        <w:t xml:space="preserve"> wegen Omikron), schlagen wir vor, dass die Empfehlungen dazu im </w:t>
      </w:r>
      <w:proofErr w:type="spellStart"/>
      <w:r>
        <w:t>KoNa</w:t>
      </w:r>
      <w:proofErr w:type="spellEnd"/>
      <w:r>
        <w:t xml:space="preserve"> Papier untergebracht werden.</w:t>
      </w:r>
    </w:p>
    <w:p>
      <w:pPr>
        <w:pStyle w:val="NurText"/>
      </w:pPr>
      <w:r>
        <w:t>Eine einfache Tabelle wäre sinnvoll:</w:t>
      </w:r>
    </w:p>
    <w:p>
      <w:pPr>
        <w:pStyle w:val="NurText"/>
        <w:rPr>
          <w:b/>
        </w:rPr>
      </w:pPr>
      <w:r>
        <w:rPr>
          <w:b/>
        </w:rPr>
        <w:t>Wichtige Regeln: Akut PCR positive Personen dürfen nicht arbeiten.</w:t>
      </w:r>
    </w:p>
    <w:p>
      <w:pPr>
        <w:pStyle w:val="NurText"/>
        <w:rPr>
          <w:b/>
        </w:rPr>
      </w:pPr>
      <w:r>
        <w:rPr>
          <w:b/>
        </w:rPr>
        <w:t>Symptomatische Personen, bei denen COVID nicht ausgeschlossen ist dürfen nicht arbeiten. (Ausschluss durch AG Test, der von PCR bestätigt werden muss)</w:t>
      </w:r>
    </w:p>
    <w:p>
      <w:pPr>
        <w:pStyle w:val="NurTex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871"/>
        <w:gridCol w:w="2766"/>
        <w:gridCol w:w="2283"/>
        <w:gridCol w:w="2694"/>
      </w:tblGrid>
      <w:t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rText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rText"/>
            </w:pP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proofErr w:type="spellStart"/>
            <w:r>
              <w:t>KritIs</w:t>
            </w:r>
            <w:proofErr w:type="spellEnd"/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Krankenhäuser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Altenheime</w:t>
            </w:r>
          </w:p>
        </w:tc>
      </w:tr>
      <w:t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rText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rText"/>
            </w:pP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-Personen nicht im Hygienemanagement erfahren</w:t>
            </w:r>
          </w:p>
          <w:p>
            <w:pPr>
              <w:pStyle w:val="NurText"/>
            </w:pPr>
            <w:r>
              <w:t>-Keine vulnerablen Gruppen</w:t>
            </w:r>
          </w:p>
          <w:p>
            <w:pPr>
              <w:pStyle w:val="NurText"/>
            </w:pPr>
            <w:r>
              <w:t>-schlechter Zugang zu PCR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-Personen im Hygienemanagement sehr erfahren</w:t>
            </w:r>
          </w:p>
          <w:p>
            <w:pPr>
              <w:pStyle w:val="NurText"/>
            </w:pPr>
            <w:r>
              <w:t>-vulnerable Gruppen</w:t>
            </w:r>
          </w:p>
          <w:p>
            <w:pPr>
              <w:pStyle w:val="NurText"/>
            </w:pPr>
            <w:r>
              <w:t>-guter Zugang zu PCR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-Personen im Hygienemanagement etwas erfahren</w:t>
            </w:r>
          </w:p>
          <w:p>
            <w:pPr>
              <w:pStyle w:val="NurText"/>
            </w:pPr>
            <w:r>
              <w:t>-stark vulnerable Gruppen</w:t>
            </w:r>
          </w:p>
          <w:p>
            <w:pPr>
              <w:pStyle w:val="NurText"/>
            </w:pPr>
            <w:r>
              <w:t>-schlechter Zugang zu PCR</w:t>
            </w:r>
          </w:p>
        </w:tc>
      </w:tr>
      <w:t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 xml:space="preserve">Vollständig geimpfte Kontaktpersonen mit </w:t>
            </w:r>
            <w:proofErr w:type="spellStart"/>
            <w:r>
              <w:rPr>
                <w:color w:val="000000"/>
              </w:rPr>
              <w:t>Boosterung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t xml:space="preserve"> Verzicht auf Quarantäne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urText"/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 xml:space="preserve">Tgl. AG Test, kontinuierliches Tragen von MNS </w:t>
            </w:r>
            <w:r>
              <w:rPr>
                <w:rFonts w:ascii="Wingdings" w:hAnsi="Wingdings"/>
              </w:rPr>
              <w:t></w:t>
            </w:r>
            <w:r>
              <w:t xml:space="preserve"> 14 Tage, am Ende PCR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 xml:space="preserve">Tgl. AG Test, jeden 3. Tag PCR, kontinuierlich FFP2 </w:t>
            </w:r>
            <w:r>
              <w:rPr>
                <w:rFonts w:ascii="Wingdings" w:hAnsi="Wingdings"/>
              </w:rPr>
              <w:t></w:t>
            </w:r>
            <w:r>
              <w:t xml:space="preserve"> 14 Tage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 xml:space="preserve">Tgl. AG Test, jeden </w:t>
            </w:r>
            <w:commentRangeStart w:id="0"/>
            <w:r>
              <w:t xml:space="preserve">4. Tag 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t xml:space="preserve">PCR, kontinuierlich FFP2 </w:t>
            </w:r>
            <w:r>
              <w:rPr>
                <w:rFonts w:ascii="Wingdings" w:hAnsi="Wingdings"/>
              </w:rPr>
              <w:t></w:t>
            </w:r>
            <w:r>
              <w:t xml:space="preserve"> 14 Tage</w:t>
            </w:r>
          </w:p>
        </w:tc>
      </w:tr>
      <w:t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 xml:space="preserve">Person mit PCR Nachweis </w:t>
            </w:r>
            <w:r>
              <w:rPr>
                <w:rFonts w:ascii="Wingdings" w:hAnsi="Wingdings"/>
              </w:rPr>
              <w:t></w:t>
            </w:r>
            <w:r>
              <w:t xml:space="preserve"> Verkürzung der Isolation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Bei asymptoma-tisch Infizierten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commentRangeStart w:id="1"/>
            <w:r>
              <w:t>Nach 5 Tagen mit negativen PCR Test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Nach 5 Tagen mit negativen PCR Test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Nach 5 Tagen mit negativen PCR Test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</w:tr>
      <w:t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 xml:space="preserve">Person mit PCR Nachweis </w:t>
            </w:r>
            <w:r>
              <w:rPr>
                <w:rFonts w:ascii="Wingdings" w:hAnsi="Wingdings"/>
              </w:rPr>
              <w:t></w:t>
            </w:r>
            <w:r>
              <w:t xml:space="preserve"> Verkürzung der Isolation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Bei symptomatisch Infizierten und mindestens 48 Stunden Symptomfreiheit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commentRangeStart w:id="2"/>
            <w:r>
              <w:t>Frühestens 10 nach Symptombeginn mit negativen PCR Test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Frühestens 10 nach Symptombeginn mit negativen PCR Test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NurText"/>
            </w:pPr>
            <w:r>
              <w:t>Frühestens 10 nach Symptombeginn mit negativen PCR Test</w:t>
            </w:r>
            <w:commentRangeEnd w:id="2"/>
            <w:r>
              <w:rPr>
                <w:rStyle w:val="Kommentarzeichen"/>
              </w:rPr>
              <w:commentReference w:id="2"/>
            </w:r>
          </w:p>
        </w:tc>
      </w:tr>
    </w:tbl>
    <w:p/>
    <w:sectPr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S" w:date="2021-12-17T15:40:00Z" w:initials="LS">
    <w:p>
      <w:pPr>
        <w:pStyle w:val="Kommentartext"/>
      </w:pPr>
      <w:r>
        <w:rPr>
          <w:rStyle w:val="Kommentarzeichen"/>
        </w:rPr>
        <w:annotationRef/>
      </w:r>
      <w:r>
        <w:t>Geringere Frequenz als im Altenheim richtig?</w:t>
      </w:r>
    </w:p>
  </w:comment>
  <w:comment w:id="1" w:author="LS" w:date="2021-12-17T15:35:00Z" w:initials="LS">
    <w:p>
      <w:pPr>
        <w:pStyle w:val="Kommentartext"/>
      </w:pPr>
      <w:r>
        <w:rPr>
          <w:rStyle w:val="Kommentarzeichen"/>
        </w:rPr>
        <w:annotationRef/>
      </w:r>
      <w:r>
        <w:t>Die PCR wird nach 5 Tagen bei Infizierten doch aber immer positiv sein; da müssen wir uns was anderes ausdenken. Alternativ: 7 Tage mit negativem Antigennachweis oder PCR&gt;CT 30/10E6 Genomäquivalente.</w:t>
      </w:r>
    </w:p>
  </w:comment>
  <w:comment w:id="2" w:author="LS" w:date="2021-12-17T15:37:00Z" w:initials="LS">
    <w:p>
      <w:pPr>
        <w:pStyle w:val="Kommentartext"/>
      </w:pPr>
      <w:r>
        <w:rPr>
          <w:rStyle w:val="Kommentarzeichen"/>
        </w:rPr>
        <w:annotationRef/>
      </w:r>
      <w:r>
        <w:t xml:space="preserve">Auch hier werden wir kaum mit negativer PCR </w:t>
      </w:r>
      <w:proofErr w:type="spellStart"/>
      <w:r>
        <w:t>rechen</w:t>
      </w:r>
      <w:proofErr w:type="spellEnd"/>
      <w:r>
        <w:t xml:space="preserve"> können. </w:t>
      </w:r>
      <w:r>
        <w:t xml:space="preserve">Alternativ: </w:t>
      </w:r>
      <w:r>
        <w:t>10</w:t>
      </w:r>
      <w:r>
        <w:t xml:space="preserve"> Tage mit negativem Antigennachweis oder PCR&gt;CT 30/10E6 Genomäquivalente.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011547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011548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t>16.12.2021 FGr7 DRAFT, noch nicht abgestimmt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011546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23C8"/>
    <w:multiLevelType w:val="hybridMultilevel"/>
    <w:tmpl w:val="E67A75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S">
    <w15:presenceInfo w15:providerId="None" w15:userId="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9D2AB69-6839-4E76-A9CD-0986091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Eckmanns, Tim</dc:creator>
  <cp:keywords/>
  <dc:description/>
  <cp:lastModifiedBy>Eckmanns, Tim</cp:lastModifiedBy>
  <cp:revision>3</cp:revision>
  <dcterms:created xsi:type="dcterms:W3CDTF">2021-12-16T10:34:00Z</dcterms:created>
  <dcterms:modified xsi:type="dcterms:W3CDTF">2021-12-16T11:16:00Z</dcterms:modified>
</cp:coreProperties>
</file>