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el"/>
        <w:rPr>
          <w:sz w:val="40"/>
        </w:rPr>
      </w:pPr>
      <w:r>
        <w:rPr>
          <w:sz w:val="40"/>
        </w:rPr>
        <w:t>RKI-Definition COVID-19-Genesenensatus</w:t>
      </w:r>
    </w:p>
    <w:p/>
    <w:p>
      <w:pPr>
        <w:rPr>
          <w:u w:val="single"/>
        </w:rPr>
      </w:pPr>
      <w:r>
        <w:rPr>
          <w:u w:val="single"/>
        </w:rPr>
        <w:t xml:space="preserve">Fachlich Verantwortlich im RKI: </w:t>
      </w:r>
      <w:r>
        <w:t>FG 33</w:t>
      </w:r>
    </w:p>
    <w:p>
      <w:r>
        <w:rPr>
          <w:u w:val="single"/>
        </w:rPr>
        <w:t>Ort der Publikation</w:t>
      </w:r>
      <w:r>
        <w:t xml:space="preserve">: </w:t>
      </w:r>
      <w:hyperlink r:id="rId8" w:history="1">
        <w:r>
          <w:rPr>
            <w:rStyle w:val="Hyperlink"/>
          </w:rPr>
          <w:t>www.rki.de/covid-19-genesenennachweis</w:t>
        </w:r>
      </w:hyperlink>
    </w:p>
    <w:p>
      <w:r>
        <w:rPr>
          <w:u w:val="single"/>
        </w:rPr>
        <w:t>Erste Veröffentlichung</w:t>
      </w:r>
      <w:r>
        <w:t>: 14.01.2022</w:t>
      </w:r>
    </w:p>
    <w:p>
      <w:r>
        <w:rPr>
          <w:u w:val="single"/>
        </w:rPr>
        <w:t>Gesetzesgrundlage:</w:t>
      </w:r>
      <w:r>
        <w:t xml:space="preserve"> </w:t>
      </w:r>
      <w:r>
        <w:t>Verordnung zur Änderung der COVID-19-Schutzmaßnahmen-Ausnahmenverordnung und der Coronavirus-Einreiseverordnung vom 14.01.2021</w:t>
      </w:r>
    </w:p>
    <w:p/>
    <w:p>
      <w:pPr>
        <w:rPr>
          <w:u w:val="single"/>
        </w:rPr>
      </w:pPr>
      <w:r>
        <w:rPr>
          <w:u w:val="single"/>
        </w:rPr>
        <w:t xml:space="preserve">Einführungstext: </w:t>
      </w:r>
    </w:p>
    <w:p>
      <w:r>
        <w:t xml:space="preserve">Gemäß Verordnung zur Änderung der COVID-19-Schutzmaßnahmen-Ausnahmenverordnung und der Coronavirus-Einreiseverordnung vom 14.01.2022 (hier link zum Text der Verordnung) weist das RKI aus, unter welchen fachlichen Bedingungen ein </w:t>
      </w:r>
      <w:proofErr w:type="spellStart"/>
      <w:r>
        <w:t>Genesenennachweis</w:t>
      </w:r>
      <w:proofErr w:type="spellEnd"/>
      <w:r>
        <w:t xml:space="preserve"> gültig ist. </w:t>
      </w:r>
    </w:p>
    <w:p>
      <w:r>
        <w:t xml:space="preserve">Die Definition erfolgt unter </w:t>
      </w:r>
      <w:r>
        <w:t xml:space="preserve">Berücksichtigung des aktuellen Stands der medizinischen Wissenschaft </w:t>
      </w:r>
      <w:r>
        <w:t>und berücksichtigt folgende</w:t>
      </w:r>
      <w:r>
        <w:t xml:space="preserve"> Kriterien:</w:t>
      </w:r>
    </w:p>
    <w:p>
      <w:r>
        <w:t>a)</w:t>
      </w:r>
      <w:r>
        <w:tab/>
        <w:t>Art der Testung zum Nachweis der vorherigen Infektion,</w:t>
      </w:r>
    </w:p>
    <w:p>
      <w:r>
        <w:t>b)</w:t>
      </w:r>
      <w:r>
        <w:tab/>
        <w:t>Zeit die nach der Testung zum Nachweis der vorherigen Infektion vergangen sein muss, oder Nachweis zur Aufhebung der aufgrund der vorherigen Infektion erfolgten Absonderung,</w:t>
      </w:r>
    </w:p>
    <w:p>
      <w:r>
        <w:t>c)</w:t>
      </w:r>
      <w:r>
        <w:tab/>
        <w:t>Zeit, die die Testung zum Nachweis der vorherigen Infektion höchstens zurückliegen darf</w:t>
      </w:r>
      <w:r>
        <w:t>.</w:t>
      </w:r>
    </w:p>
    <w:p/>
    <w:tbl>
      <w:tblPr>
        <w:tblW w:w="92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9"/>
      </w:tblGrid>
      <w:tr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9279" w:type="dxa"/>
            <w:shd w:val="clear" w:color="auto" w:fill="D9D9D9" w:themeFill="background1" w:themeFillShade="D9"/>
          </w:tcPr>
          <w:p>
            <w:pPr>
              <w:ind w:left="-10"/>
              <w:rPr>
                <w:u w:val="single"/>
              </w:rPr>
            </w:pPr>
            <w:r>
              <w:rPr>
                <w:u w:val="single"/>
              </w:rPr>
              <w:t>Definition „</w:t>
            </w:r>
            <w:proofErr w:type="spellStart"/>
            <w:r>
              <w:rPr>
                <w:u w:val="single"/>
              </w:rPr>
              <w:t>Genesenenstatus</w:t>
            </w:r>
            <w:proofErr w:type="spellEnd"/>
            <w:r>
              <w:rPr>
                <w:u w:val="single"/>
              </w:rPr>
              <w:t xml:space="preserve">“: </w:t>
            </w:r>
          </w:p>
          <w:p>
            <w:pPr>
              <w:ind w:left="-10"/>
            </w:pPr>
            <w:r>
              <w:t>Eine Person kann für die Zwecke der COVID-19-Schutzmaßnahmen-Ausnahmenverordnung und der Coronavirus-Einreiseverordnung aus fachlicher Sicht als von COVID-19 g</w:t>
            </w:r>
            <w:r>
              <w:t>enesen</w:t>
            </w:r>
            <w:r>
              <w:t xml:space="preserve"> gelten, wenn: </w:t>
            </w:r>
          </w:p>
          <w:p>
            <w:pPr>
              <w:pStyle w:val="Listenabsatz"/>
              <w:numPr>
                <w:ilvl w:val="0"/>
                <w:numId w:val="2"/>
              </w:numPr>
              <w:ind w:left="710"/>
            </w:pPr>
            <w:r>
              <w:t>die zugrundeliegende Testung durch eine Labordiagnostik mittel</w:t>
            </w:r>
            <w:commentRangeStart w:id="0"/>
            <w:r>
              <w:t xml:space="preserve">s </w:t>
            </w:r>
            <w:proofErr w:type="spellStart"/>
            <w:r>
              <w:t>Nukleinsäurenachweis</w:t>
            </w:r>
            <w:proofErr w:type="spellEnd"/>
            <w:r>
              <w:t xml:space="preserve"> (PCR, </w:t>
            </w:r>
            <w:proofErr w:type="spellStart"/>
            <w:r>
              <w:t>PoC</w:t>
            </w:r>
            <w:proofErr w:type="spellEnd"/>
            <w:r>
              <w:t xml:space="preserve">-PCR oder weitere Methoden der </w:t>
            </w:r>
            <w:proofErr w:type="spellStart"/>
            <w:r>
              <w:t>Nukleinsäureamplifikationstechnik</w:t>
            </w:r>
            <w:proofErr w:type="spellEnd"/>
            <w:r>
              <w:t xml:space="preserve">) erfolgt ist </w:t>
            </w:r>
            <w:commentRangeEnd w:id="0"/>
            <w:r>
              <w:rPr>
                <w:rStyle w:val="Kommentarzeichen"/>
              </w:rPr>
              <w:commentReference w:id="0"/>
            </w:r>
          </w:p>
          <w:p>
            <w:pPr>
              <w:ind w:left="350"/>
            </w:pPr>
            <w:r>
              <w:t>UND</w:t>
            </w:r>
          </w:p>
          <w:p>
            <w:pPr>
              <w:pStyle w:val="Listenabsatz"/>
              <w:numPr>
                <w:ilvl w:val="0"/>
                <w:numId w:val="3"/>
              </w:numPr>
            </w:pPr>
            <w:r>
              <w:t xml:space="preserve">) </w:t>
            </w:r>
            <w:r>
              <w:t xml:space="preserve">mindestens </w:t>
            </w:r>
            <w:commentRangeStart w:id="2"/>
            <w:r>
              <w:t xml:space="preserve">28 Tage </w:t>
            </w:r>
            <w:commentRangeEnd w:id="2"/>
            <w:r>
              <w:rPr>
                <w:rStyle w:val="Kommentarzeichen"/>
              </w:rPr>
              <w:commentReference w:id="2"/>
            </w:r>
            <w:r>
              <w:t>zurück liegt</w:t>
            </w:r>
          </w:p>
          <w:p>
            <w:pPr>
              <w:ind w:left="350"/>
            </w:pPr>
            <w:r>
              <w:t>UND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u w:val="single"/>
              </w:rPr>
            </w:pPr>
            <w:r>
              <w:t xml:space="preserve">) </w:t>
            </w:r>
            <w:commentRangeStart w:id="3"/>
            <w:r>
              <w:t xml:space="preserve">maximal </w:t>
            </w:r>
            <w:r>
              <w:t xml:space="preserve">90 Tage </w:t>
            </w:r>
            <w:r>
              <w:t>zurück</w:t>
            </w:r>
            <w:r>
              <w:t xml:space="preserve"> </w:t>
            </w:r>
            <w:r>
              <w:t>lieg</w:t>
            </w:r>
            <w:r>
              <w:t>t.</w:t>
            </w:r>
            <w:commentRangeEnd w:id="3"/>
            <w:r>
              <w:rPr>
                <w:rStyle w:val="Kommentarzeichen"/>
              </w:rPr>
              <w:commentReference w:id="3"/>
            </w:r>
          </w:p>
        </w:tc>
      </w:tr>
    </w:tbl>
    <w:p/>
    <w:p>
      <w:pPr>
        <w:rPr>
          <w:i/>
        </w:rPr>
      </w:pPr>
      <w:r>
        <w:rPr>
          <w:i/>
        </w:rPr>
        <w:t xml:space="preserve">Diese Definition wird regelmäßig überprüft und kann sich gemäß Stand der Wissenschaft ändern. </w:t>
      </w:r>
    </w:p>
    <w:sectPr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exroth, Ute" w:date="2022-01-10T15:57:00Z" w:initials="RU">
    <w:p>
      <w:pPr>
        <w:pStyle w:val="Kommentartext"/>
      </w:pPr>
      <w:r>
        <w:rPr>
          <w:rStyle w:val="Kommentarzeichen"/>
        </w:rPr>
        <w:annotationRef/>
      </w:r>
      <w:r>
        <w:t>PCR aktuell weiterhin Goldstandard. Wenn PCR total überlastet ggf. zwischenzeitlich auch AG-</w:t>
      </w:r>
      <w:bookmarkStart w:id="1" w:name="_GoBack"/>
      <w:bookmarkEnd w:id="1"/>
      <w:r>
        <w:t xml:space="preserve">Testungen OK. Muss man aber dann sehen. </w:t>
      </w:r>
    </w:p>
  </w:comment>
  <w:comment w:id="2" w:author="Rexroth, Ute" w:date="2022-01-10T15:54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Aktuell: 28 tage, neuer </w:t>
      </w:r>
      <w:proofErr w:type="gramStart"/>
      <w:r>
        <w:t>Verordnungstext  hätte</w:t>
      </w:r>
      <w:proofErr w:type="gramEnd"/>
      <w:r>
        <w:t xml:space="preserve"> 14 Tage vorgesehen, damit kein Gap nach Entlassung. Wenn Entlassung nach 10 Tagen gäbe es auch Gap. Min. Isolationsdauer künftig 7 Tage. Für Immunität ab 7 Tagen aber keine Evidenz - Immunität baut sich erst auf. Daher RKI-Vorschlag: ab 28 Tage belassen</w:t>
      </w:r>
    </w:p>
  </w:comment>
  <w:comment w:id="3" w:author="Rexroth, Ute" w:date="2022-01-10T15:53:00Z" w:initials="RU">
    <w:p>
      <w:pPr>
        <w:pStyle w:val="Kommentartext"/>
      </w:pPr>
      <w:r>
        <w:rPr>
          <w:rStyle w:val="Kommentarzeichen"/>
        </w:rPr>
        <w:annotationRef/>
      </w:r>
      <w:r>
        <w:t>Aktuell 6 Monate, neuer Verordnungstext hatte 180 Tage vorgesehen (</w:t>
      </w:r>
      <w:proofErr w:type="spellStart"/>
      <w:r>
        <w:t>internat</w:t>
      </w:r>
      <w:proofErr w:type="spellEnd"/>
      <w:r>
        <w:t>. Angleichung); in MPK-Beschlüssen aber gemäß RKI-</w:t>
      </w:r>
      <w:proofErr w:type="gramStart"/>
      <w:r>
        <w:t>Empfehlung  3</w:t>
      </w:r>
      <w:proofErr w:type="gramEnd"/>
      <w:r>
        <w:t xml:space="preserve"> Monate – deswegen hier Vorschlag: 90 Tage. 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t>Entwurf, Stand 10.01.2022; Ute Rexroth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91179"/>
    <w:multiLevelType w:val="hybridMultilevel"/>
    <w:tmpl w:val="11DEF8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5055D"/>
    <w:multiLevelType w:val="hybridMultilevel"/>
    <w:tmpl w:val="2F9A91A8"/>
    <w:lvl w:ilvl="0" w:tplc="55BEC566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30794"/>
    <w:multiLevelType w:val="hybridMultilevel"/>
    <w:tmpl w:val="24BCA1F4"/>
    <w:lvl w:ilvl="0" w:tplc="0407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2BE4C-7BCD-4DE4-89D9-66FD104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i.de/covid-19-genesenennachwe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43030-DA9A-418E-B705-4045D96A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Rexroth, Ute</dc:creator>
  <cp:keywords/>
  <dc:description/>
  <cp:lastModifiedBy>Rexroth, Ute</cp:lastModifiedBy>
  <cp:revision>2</cp:revision>
  <dcterms:created xsi:type="dcterms:W3CDTF">2022-01-10T14:25:00Z</dcterms:created>
  <dcterms:modified xsi:type="dcterms:W3CDTF">2022-01-10T14:58:00Z</dcterms:modified>
</cp:coreProperties>
</file>