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spacing w:before="100" w:beforeAutospacing="1" w:after="100" w:afterAutospacing="1" w:line="240" w:lineRule="auto"/>
        <w:outlineLvl w:val="0"/>
        <w:rPr>
          <w:rFonts w:ascii="Times New Roman" w:eastAsia="Times New Roman" w:hAnsi="Times New Roman" w:cs="Times New Roman"/>
          <w:b/>
          <w:bCs/>
          <w:kern w:val="36"/>
          <w:sz w:val="48"/>
          <w:szCs w:val="48"/>
          <w:lang w:eastAsia="de-DE"/>
        </w:rPr>
      </w:pPr>
      <w:r>
        <w:rPr>
          <w:rFonts w:ascii="Times New Roman" w:eastAsia="Times New Roman" w:hAnsi="Times New Roman" w:cs="Times New Roman"/>
          <w:b/>
          <w:bCs/>
          <w:kern w:val="36"/>
          <w:sz w:val="48"/>
          <w:szCs w:val="48"/>
          <w:lang w:eastAsia="de-DE"/>
        </w:rPr>
        <w:t>Risikobewertung zu COVID-19</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i/>
          <w:iCs/>
          <w:sz w:val="24"/>
          <w:szCs w:val="24"/>
          <w:lang w:eastAsia="de-DE"/>
        </w:rPr>
        <w:t>Änderungen gegenüber der Version vom 21.12.2021: Anpassungen aufgrund von Omikron besonders in den Abschnitten Hintergrund, Empfehlungen und Krankheitsschwere.</w:t>
      </w:r>
    </w:p>
    <w:p>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Pr>
          <w:rFonts w:ascii="Times New Roman" w:eastAsia="Times New Roman" w:hAnsi="Times New Roman" w:cs="Times New Roman"/>
          <w:b/>
          <w:bCs/>
          <w:sz w:val="36"/>
          <w:szCs w:val="36"/>
          <w:lang w:eastAsia="de-DE"/>
        </w:rPr>
        <w:t>Risikobewertung</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Das Robert Koch-Institut schätzt die Gefährdung durch COVID-19 für die Gesundheit der Bevölkerung in Deutschland insgesamt als </w:t>
      </w:r>
      <w:r>
        <w:rPr>
          <w:rFonts w:ascii="Times New Roman" w:eastAsia="Times New Roman" w:hAnsi="Times New Roman" w:cs="Times New Roman"/>
          <w:b/>
          <w:bCs/>
          <w:sz w:val="24"/>
          <w:szCs w:val="24"/>
          <w:lang w:eastAsia="de-DE"/>
        </w:rPr>
        <w:t>sehr hoch</w:t>
      </w:r>
      <w:r>
        <w:rPr>
          <w:rFonts w:ascii="Times New Roman" w:eastAsia="Times New Roman" w:hAnsi="Times New Roman" w:cs="Times New Roman"/>
          <w:sz w:val="24"/>
          <w:szCs w:val="24"/>
          <w:lang w:eastAsia="de-DE"/>
        </w:rPr>
        <w:t xml:space="preserve"> ein. Ursächlich hierfür ist das Auftreten und die rasante Verbreitung der </w:t>
      </w:r>
      <w:proofErr w:type="spellStart"/>
      <w:r>
        <w:rPr>
          <w:rFonts w:ascii="Times New Roman" w:eastAsia="Times New Roman" w:hAnsi="Times New Roman" w:cs="Times New Roman"/>
          <w:sz w:val="24"/>
          <w:szCs w:val="24"/>
          <w:lang w:eastAsia="de-DE"/>
        </w:rPr>
        <w:t>Omikronvariante</w:t>
      </w:r>
      <w:proofErr w:type="spellEnd"/>
      <w:r>
        <w:rPr>
          <w:rFonts w:ascii="Times New Roman" w:eastAsia="Times New Roman" w:hAnsi="Times New Roman" w:cs="Times New Roman"/>
          <w:sz w:val="24"/>
          <w:szCs w:val="24"/>
          <w:lang w:eastAsia="de-DE"/>
        </w:rPr>
        <w:t>, die sich nach derzeitigem Kenntnisstand deutlich schneller und effektiver verbreitet als die bisherigen Virusvarianten. Dadurch kann es zu einer schlagartigen Erhöhung der Infektionsfälle und einer schnellen Überlastung des Gesundheitssystems und ggf. weiterer Versorgungsbereiche kommen.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Die Infektionsgefährdung wird für die Gruppe der Ungeimpften als sehr hoch, für die Gruppen der Genesen und Geimpften mit Grundimmunisierung (zweimalige Impfung) als hoch und für die Gruppe der Geimpften mit Auffrischimpfung (dreimalige Impfung) als moderat eingeschätzt. Diese Einschätzung kann sich kurzfristig durch neue Erkenntnisse ändern.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 xml:space="preserve">Ziel </w:t>
      </w:r>
      <w:r>
        <w:rPr>
          <w:rFonts w:ascii="Times New Roman" w:eastAsia="Times New Roman" w:hAnsi="Times New Roman" w:cs="Times New Roman"/>
          <w:sz w:val="24"/>
          <w:szCs w:val="24"/>
          <w:lang w:eastAsia="de-DE"/>
        </w:rPr>
        <w:t xml:space="preserve">der Anstrengungen in Deutschland ist es, die Infektionszahlen aktuell deutlich zu senken, um die Dynamik der Ausbreitung der </w:t>
      </w:r>
      <w:proofErr w:type="spellStart"/>
      <w:r>
        <w:rPr>
          <w:rFonts w:ascii="Times New Roman" w:eastAsia="Times New Roman" w:hAnsi="Times New Roman" w:cs="Times New Roman"/>
          <w:sz w:val="24"/>
          <w:szCs w:val="24"/>
          <w:lang w:eastAsia="de-DE"/>
        </w:rPr>
        <w:t>Omikronvariante</w:t>
      </w:r>
      <w:proofErr w:type="spellEnd"/>
      <w:r>
        <w:rPr>
          <w:rFonts w:ascii="Times New Roman" w:eastAsia="Times New Roman" w:hAnsi="Times New Roman" w:cs="Times New Roman"/>
          <w:sz w:val="24"/>
          <w:szCs w:val="24"/>
          <w:lang w:eastAsia="de-DE"/>
        </w:rPr>
        <w:t xml:space="preserve"> zu bremsen, schwere Erkrankungen und Todesfälle zu minimieren und das Gesundheitswesen zu entlasten. Ein weiteres wichtiges Ziel ist die Vermeidung von Langzeitfolgen, die auch nach milden Krankheitsverläufen auftreten können und deren langfristige Auswirkungen noch nicht absehbar sind.</w:t>
      </w:r>
    </w:p>
    <w:p>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Pr>
          <w:rFonts w:ascii="Times New Roman" w:eastAsia="Times New Roman" w:hAnsi="Times New Roman" w:cs="Times New Roman"/>
          <w:b/>
          <w:bCs/>
          <w:sz w:val="27"/>
          <w:szCs w:val="27"/>
          <w:lang w:eastAsia="de-DE"/>
        </w:rPr>
        <w:t>Hintergrund</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Die 7-Tages-Inzidenzen sind derzeit in allen Altersgruppen weiterhin sehr hoch. Die Fallzahlen sind deutlich höher als im gleichen Zeitraum des Vorjahres. Auch die Zahl schwerer Erkrankungen an COVID-19, die im Krankenhaus aufgenommen und ggf. auch intensivmedizinisch behandelt werden müssen, befindet sich weiter auf einem hohen Niveau. Auch die Zahl der Todesfälle ist weiterhin sehr hoch.</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Es lassen sich viele Infektionsketten nicht nachvollziehen, Ausbrüche treten in vielen verschiedenen Umfeldern auf. SARS-CoV-2 verbreitet sich überall dort, wo Menschen zusammenkommen, insbesondere in geschlossenen Räumen. Häufungen werden oft in Privathaushalten und in der Freizeit (z.B. im Zusammenhang mit Besuchen von Bars und Clubs) dokumentiert, Übertragungen und Ausbrüche finden aber auch in anderen Bereichen statt, z.B. im Arbeitsumfeld, in Schulen, bei Reisen, bei Tanz- und Gesangsveranstaltungen, Weihnachtsfeiern und anderen Feiern, besonders auch bei Großveranstaltungen. COVID-19-bedingte Ausbrüche in Alten- und Pflegeheimen und Krankenhäusern treten wieder zunehmend auf. Davon sind auch geimpfte Personen betroffen.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Die Ausbreitung der </w:t>
      </w:r>
      <w:proofErr w:type="spellStart"/>
      <w:r>
        <w:rPr>
          <w:rFonts w:ascii="Times New Roman" w:eastAsia="Times New Roman" w:hAnsi="Times New Roman" w:cs="Times New Roman"/>
          <w:sz w:val="24"/>
          <w:szCs w:val="24"/>
          <w:lang w:eastAsia="de-DE"/>
        </w:rPr>
        <w:t>Omikronvariante</w:t>
      </w:r>
      <w:proofErr w:type="spellEnd"/>
      <w:r>
        <w:rPr>
          <w:rFonts w:ascii="Times New Roman" w:eastAsia="Times New Roman" w:hAnsi="Times New Roman" w:cs="Times New Roman"/>
          <w:sz w:val="24"/>
          <w:szCs w:val="24"/>
          <w:lang w:eastAsia="de-DE"/>
        </w:rPr>
        <w:t xml:space="preserve"> ist sehr beunruhigend. Sie wird mit steigender Tendenz zusätzlich zur Deltavariante in Deutschland nachgewiesen. Die </w:t>
      </w:r>
      <w:proofErr w:type="spellStart"/>
      <w:r>
        <w:rPr>
          <w:rFonts w:ascii="Times New Roman" w:eastAsia="Times New Roman" w:hAnsi="Times New Roman" w:cs="Times New Roman"/>
          <w:sz w:val="24"/>
          <w:szCs w:val="24"/>
          <w:lang w:eastAsia="de-DE"/>
        </w:rPr>
        <w:t>Omikronvariante</w:t>
      </w:r>
      <w:proofErr w:type="spellEnd"/>
      <w:r>
        <w:rPr>
          <w:rFonts w:ascii="Times New Roman" w:eastAsia="Times New Roman" w:hAnsi="Times New Roman" w:cs="Times New Roman"/>
          <w:sz w:val="24"/>
          <w:szCs w:val="24"/>
          <w:lang w:eastAsia="de-DE"/>
        </w:rPr>
        <w:t xml:space="preserve"> ist deutlich übertragbarer als die früheren Varianten (z.B. Deltavariante). Es gibt erste Hinweise auf eine reduzierte Effektivität und Dauer des Impfschutzes gegen die </w:t>
      </w:r>
      <w:proofErr w:type="spellStart"/>
      <w:r>
        <w:rPr>
          <w:rFonts w:ascii="Times New Roman" w:eastAsia="Times New Roman" w:hAnsi="Times New Roman" w:cs="Times New Roman"/>
          <w:sz w:val="24"/>
          <w:szCs w:val="24"/>
          <w:lang w:eastAsia="de-DE"/>
        </w:rPr>
        <w:t>Omikronvariante</w:t>
      </w:r>
      <w:proofErr w:type="spellEnd"/>
      <w:r>
        <w:rPr>
          <w:rFonts w:ascii="Times New Roman" w:eastAsia="Times New Roman" w:hAnsi="Times New Roman" w:cs="Times New Roman"/>
          <w:sz w:val="24"/>
          <w:szCs w:val="24"/>
          <w:lang w:eastAsia="de-DE"/>
        </w:rPr>
        <w:t xml:space="preserve">. Die Datenlage hinsichtlich der Schwere der Erkrankungen durch die </w:t>
      </w:r>
      <w:proofErr w:type="spellStart"/>
      <w:r>
        <w:rPr>
          <w:rFonts w:ascii="Times New Roman" w:eastAsia="Times New Roman" w:hAnsi="Times New Roman" w:cs="Times New Roman"/>
          <w:sz w:val="24"/>
          <w:szCs w:val="24"/>
          <w:lang w:eastAsia="de-DE"/>
        </w:rPr>
        <w:t>Omikronvariante</w:t>
      </w:r>
      <w:proofErr w:type="spellEnd"/>
      <w:r>
        <w:rPr>
          <w:rFonts w:ascii="Times New Roman" w:eastAsia="Times New Roman" w:hAnsi="Times New Roman" w:cs="Times New Roman"/>
          <w:sz w:val="24"/>
          <w:szCs w:val="24"/>
          <w:lang w:eastAsia="de-DE"/>
        </w:rPr>
        <w:t xml:space="preserve"> ist noch nicht ausreichend, allerdings zeigen erste Studien eher einen geringeren Anteil an </w:t>
      </w:r>
      <w:r>
        <w:rPr>
          <w:rFonts w:ascii="Times New Roman" w:eastAsia="Times New Roman" w:hAnsi="Times New Roman" w:cs="Times New Roman"/>
          <w:sz w:val="24"/>
          <w:szCs w:val="24"/>
          <w:lang w:eastAsia="de-DE"/>
        </w:rPr>
        <w:lastRenderedPageBreak/>
        <w:t>Hospitalisierten im Vergleich zu Infektionen mit der Deltavariante. Das Gesundheitswesen und auch weitere Versorgungsbereiche können durch den erwarteten Fallzahlanstieg dennoch stark belastet werden.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Die aktuelle Entwicklung ist daher sehr besorgniserregend, und es ist zu befürchten, dass es bei weiterer Verbreitung der </w:t>
      </w:r>
      <w:proofErr w:type="spellStart"/>
      <w:r>
        <w:rPr>
          <w:rFonts w:ascii="Times New Roman" w:eastAsia="Times New Roman" w:hAnsi="Times New Roman" w:cs="Times New Roman"/>
          <w:sz w:val="24"/>
          <w:szCs w:val="24"/>
          <w:lang w:eastAsia="de-DE"/>
        </w:rPr>
        <w:t>Omikronvariante</w:t>
      </w:r>
      <w:proofErr w:type="spellEnd"/>
      <w:r>
        <w:rPr>
          <w:rFonts w:ascii="Times New Roman" w:eastAsia="Times New Roman" w:hAnsi="Times New Roman" w:cs="Times New Roman"/>
          <w:sz w:val="24"/>
          <w:szCs w:val="24"/>
          <w:lang w:eastAsia="de-DE"/>
        </w:rPr>
        <w:t xml:space="preserve"> in Deutschland wieder zu einem</w:t>
      </w:r>
      <w:r>
        <w:rPr>
          <w:rFonts w:ascii="Times New Roman" w:eastAsia="Times New Roman" w:hAnsi="Times New Roman" w:cs="Times New Roman"/>
          <w:b/>
          <w:bCs/>
          <w:sz w:val="24"/>
          <w:szCs w:val="24"/>
          <w:lang w:eastAsia="de-DE"/>
        </w:rPr>
        <w:t xml:space="preserve"> erneuten Anstieg der schweren Erkrankungen und Todesfällen</w:t>
      </w:r>
      <w:r>
        <w:rPr>
          <w:rFonts w:ascii="Times New Roman" w:eastAsia="Times New Roman" w:hAnsi="Times New Roman" w:cs="Times New Roman"/>
          <w:sz w:val="24"/>
          <w:szCs w:val="24"/>
          <w:lang w:eastAsia="de-DE"/>
        </w:rPr>
        <w:t xml:space="preserve"> kommen wird - schon aufgrund des erwarteten massiven Anstiegs der Fallzahlen - und die deutschlandweit verfügbaren intensivmedizinischen Behandlungskapazitäten überschritten werden.</w:t>
      </w:r>
    </w:p>
    <w:p>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Pr>
          <w:rFonts w:ascii="Times New Roman" w:eastAsia="Times New Roman" w:hAnsi="Times New Roman" w:cs="Times New Roman"/>
          <w:b/>
          <w:bCs/>
          <w:sz w:val="27"/>
          <w:szCs w:val="27"/>
          <w:lang w:eastAsia="de-DE"/>
        </w:rPr>
        <w:t>Empfehlungen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Damit die Infektionszahlen nachhaltig sinken, müssen so viele Übertragungen wie möglich vermieden werden. Dies kann durch Kontaktreduktion, Einhaltung der AHA+L-Regeln und die Impfung erfolgen. Die Impfung bietet grundsätzlich einen guten Schutz vor Infektion und insbesondere gegen schwere Erkrankung und Hospitalisierung durch COVID-19; die Schutzwirkung – insbesondere hinsichtlich milder Infektionen - lässt allerdings nach wenigen Monaten nach, so dass sie durch eine Auffrischimpfung wiederhergestellt werden muss. Nur durch Erreichen eines sehr hohen Anteils der vollständig Geimpften in der Bevölkerung und einer möglichst kleinen Zahl an Neuinfizierten können sowohl Übertragungen als auch schwere Erkrankungen, Krankenhausaufnahmen und Todesfälle wirksam reduziert werden.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Die Verbreitung der </w:t>
      </w:r>
      <w:proofErr w:type="spellStart"/>
      <w:r>
        <w:rPr>
          <w:rFonts w:ascii="Times New Roman" w:eastAsia="Times New Roman" w:hAnsi="Times New Roman" w:cs="Times New Roman"/>
          <w:sz w:val="24"/>
          <w:szCs w:val="24"/>
          <w:lang w:eastAsia="de-DE"/>
        </w:rPr>
        <w:t>Omikronvariante</w:t>
      </w:r>
      <w:proofErr w:type="spellEnd"/>
      <w:r>
        <w:rPr>
          <w:rFonts w:ascii="Times New Roman" w:eastAsia="Times New Roman" w:hAnsi="Times New Roman" w:cs="Times New Roman"/>
          <w:sz w:val="24"/>
          <w:szCs w:val="24"/>
          <w:lang w:eastAsia="de-DE"/>
        </w:rPr>
        <w:t xml:space="preserve"> verstärkt die Notwendigkeit intensiver kontaktreduzierender Maßnahmen, konsequenter Einhaltung der AHA-L Regeln, sowie intensivierter Impfungen. Um einen guten Impfschutz auch gegen die </w:t>
      </w:r>
      <w:proofErr w:type="spellStart"/>
      <w:r>
        <w:rPr>
          <w:rFonts w:ascii="Times New Roman" w:eastAsia="Times New Roman" w:hAnsi="Times New Roman" w:cs="Times New Roman"/>
          <w:sz w:val="24"/>
          <w:szCs w:val="24"/>
          <w:lang w:eastAsia="de-DE"/>
        </w:rPr>
        <w:t>Omikronvariante</w:t>
      </w:r>
      <w:proofErr w:type="spellEnd"/>
      <w:r>
        <w:rPr>
          <w:rFonts w:ascii="Times New Roman" w:eastAsia="Times New Roman" w:hAnsi="Times New Roman" w:cs="Times New Roman"/>
          <w:sz w:val="24"/>
          <w:szCs w:val="24"/>
          <w:lang w:eastAsia="de-DE"/>
        </w:rPr>
        <w:t xml:space="preserve"> zu erreichen, sollten Auffrischimpfungen entsprechend den STIKO-Empfehlungen unbedingt und zeitnah wahrgenommen sowie noch nicht erfolgte Grundimmunisierungen dringend begonnen bzw. komplettiert werden.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Deshalb </w:t>
      </w:r>
      <w:proofErr w:type="gramStart"/>
      <w:r>
        <w:rPr>
          <w:rFonts w:ascii="Times New Roman" w:eastAsia="Times New Roman" w:hAnsi="Times New Roman" w:cs="Times New Roman"/>
          <w:sz w:val="24"/>
          <w:szCs w:val="24"/>
          <w:lang w:eastAsia="de-DE"/>
        </w:rPr>
        <w:t>sollte</w:t>
      </w:r>
      <w:proofErr w:type="gramEnd"/>
      <w:r>
        <w:rPr>
          <w:rFonts w:ascii="Times New Roman" w:eastAsia="Times New Roman" w:hAnsi="Times New Roman" w:cs="Times New Roman"/>
          <w:sz w:val="24"/>
          <w:szCs w:val="24"/>
          <w:lang w:eastAsia="de-DE"/>
        </w:rPr>
        <w:t xml:space="preserve"> jeder Bürger und jede Bürgerin alle anwendbaren Maßnahmen umsetzen.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Es ist unbedingt erforderlich, </w:t>
      </w:r>
      <w:r>
        <w:rPr>
          <w:rFonts w:ascii="Times New Roman" w:eastAsia="Times New Roman" w:hAnsi="Times New Roman" w:cs="Times New Roman"/>
          <w:b/>
          <w:bCs/>
          <w:sz w:val="24"/>
          <w:szCs w:val="24"/>
          <w:lang w:eastAsia="de-DE"/>
        </w:rPr>
        <w:t>bei Symptomen einer neu auftretenden Atemwegserkrankung wie z.B. Schnupfen, Halsschmerzen oder Husten (unabhängig vom Impfstatus) zuhause zu bleiben</w:t>
      </w:r>
      <w:r>
        <w:rPr>
          <w:rFonts w:ascii="Times New Roman" w:eastAsia="Times New Roman" w:hAnsi="Times New Roman" w:cs="Times New Roman"/>
          <w:sz w:val="24"/>
          <w:szCs w:val="24"/>
          <w:lang w:eastAsia="de-DE"/>
        </w:rPr>
        <w:t>, die Hausarztpraxis zu kontaktieren und einen PCR-Test durchführen zu lassen.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Grundsätzlich sollten</w:t>
      </w:r>
      <w:r>
        <w:rPr>
          <w:rFonts w:ascii="Times New Roman" w:eastAsia="Times New Roman" w:hAnsi="Times New Roman" w:cs="Times New Roman"/>
          <w:b/>
          <w:bCs/>
          <w:sz w:val="24"/>
          <w:szCs w:val="24"/>
          <w:lang w:eastAsia="de-DE"/>
        </w:rPr>
        <w:t xml:space="preserve"> alle nicht notwendigen Kontakte reduziert</w:t>
      </w:r>
      <w:r>
        <w:rPr>
          <w:rFonts w:ascii="Times New Roman" w:eastAsia="Times New Roman" w:hAnsi="Times New Roman" w:cs="Times New Roman"/>
          <w:sz w:val="24"/>
          <w:szCs w:val="24"/>
          <w:lang w:eastAsia="de-DE"/>
        </w:rPr>
        <w:t xml:space="preserve"> und Reisen vermieden werden. Sofern Kontakte nicht ganz gemieden werden können, sollten sie auf einen engen, gleichbleibenden Kreis beschränkt werden, Masken getragen, Mindestabstände eingehalten und die Hygiene beachtet werden. In Innenräumen sollten kontinuierlich medizinische Masken getragen werden. Innenräume sind vor, während und nach dem Aufenthalt mehrerer Personen regelmäßig und gründlich zu Lüften (</w:t>
      </w:r>
      <w:r>
        <w:rPr>
          <w:rFonts w:ascii="Times New Roman" w:eastAsia="Times New Roman" w:hAnsi="Times New Roman" w:cs="Times New Roman"/>
          <w:b/>
          <w:bCs/>
          <w:sz w:val="24"/>
          <w:szCs w:val="24"/>
          <w:lang w:eastAsia="de-DE"/>
        </w:rPr>
        <w:t>AHA+L-Regel</w:t>
      </w:r>
      <w:r>
        <w:rPr>
          <w:rFonts w:ascii="Times New Roman" w:eastAsia="Times New Roman" w:hAnsi="Times New Roman" w:cs="Times New Roman"/>
          <w:sz w:val="24"/>
          <w:szCs w:val="24"/>
          <w:lang w:eastAsia="de-DE"/>
        </w:rPr>
        <w:t xml:space="preserve">). Das RKI rät dringend dazu, </w:t>
      </w:r>
      <w:r>
        <w:rPr>
          <w:rFonts w:ascii="Times New Roman" w:eastAsia="Times New Roman" w:hAnsi="Times New Roman" w:cs="Times New Roman"/>
          <w:b/>
          <w:bCs/>
          <w:sz w:val="24"/>
          <w:szCs w:val="24"/>
          <w:lang w:eastAsia="de-DE"/>
        </w:rPr>
        <w:t>größere Veranstaltungen und enge Kontaktsituationen, z.B. Tanzveranstaltungen und andere Feiern im öffentlichen und privaten Bereich abzusagen</w:t>
      </w:r>
      <w:r>
        <w:rPr>
          <w:rFonts w:ascii="Times New Roman" w:eastAsia="Times New Roman" w:hAnsi="Times New Roman" w:cs="Times New Roman"/>
          <w:sz w:val="24"/>
          <w:szCs w:val="24"/>
          <w:lang w:eastAsia="de-DE"/>
        </w:rPr>
        <w:t xml:space="preserve"> oder zu meiden. Es wird empfohlen, die Corona Warn App zu nutzen. Insbesondere vor Kontakt zu besonders gefährdeten Personen sollte ein vollständiger Impfschutz vorliegen und ein Test gemacht werden. </w:t>
      </w:r>
      <w:r>
        <w:rPr>
          <w:rFonts w:ascii="Times New Roman" w:eastAsia="Times New Roman" w:hAnsi="Times New Roman" w:cs="Times New Roman"/>
          <w:b/>
          <w:bCs/>
          <w:sz w:val="24"/>
          <w:szCs w:val="24"/>
          <w:lang w:eastAsia="de-DE"/>
        </w:rPr>
        <w:t>Alle diese Empfehlungen gelten auch für Geimpfte und Genesene und helfen auch dabei, die Krankheitslast durch weitere akute Atemwegsinfektionen wie die Influenza zu reduzieren.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lastRenderedPageBreak/>
        <w:t xml:space="preserve">Es wird </w:t>
      </w:r>
      <w:r>
        <w:rPr>
          <w:rFonts w:ascii="Times New Roman" w:eastAsia="Times New Roman" w:hAnsi="Times New Roman" w:cs="Times New Roman"/>
          <w:sz w:val="24"/>
          <w:szCs w:val="24"/>
          <w:lang w:eastAsia="de-DE"/>
        </w:rPr>
        <w:t xml:space="preserve">insbesondere den noch nicht grundimmunisierten Personen </w:t>
      </w:r>
      <w:r>
        <w:rPr>
          <w:rFonts w:ascii="Times New Roman" w:eastAsia="Times New Roman" w:hAnsi="Times New Roman" w:cs="Times New Roman"/>
          <w:b/>
          <w:bCs/>
          <w:sz w:val="24"/>
          <w:szCs w:val="24"/>
          <w:lang w:eastAsia="de-DE"/>
        </w:rPr>
        <w:t>dringend empfohlen</w:t>
      </w:r>
      <w:r>
        <w:rPr>
          <w:rFonts w:ascii="Times New Roman" w:eastAsia="Times New Roman" w:hAnsi="Times New Roman" w:cs="Times New Roman"/>
          <w:sz w:val="24"/>
          <w:szCs w:val="24"/>
          <w:lang w:eastAsia="de-DE"/>
        </w:rPr>
        <w:t xml:space="preserve">, </w:t>
      </w:r>
      <w:r>
        <w:rPr>
          <w:rFonts w:ascii="Times New Roman" w:eastAsia="Times New Roman" w:hAnsi="Times New Roman" w:cs="Times New Roman"/>
          <w:b/>
          <w:bCs/>
          <w:sz w:val="24"/>
          <w:szCs w:val="24"/>
          <w:lang w:eastAsia="de-DE"/>
        </w:rPr>
        <w:t>sich gegen COVID-19 impfen zu lassen und hierbei auf einen vollständigen Impfschutz zu achten.</w:t>
      </w:r>
      <w:r>
        <w:rPr>
          <w:rFonts w:ascii="Times New Roman" w:eastAsia="Times New Roman" w:hAnsi="Times New Roman" w:cs="Times New Roman"/>
          <w:sz w:val="24"/>
          <w:szCs w:val="24"/>
          <w:lang w:eastAsia="de-DE"/>
        </w:rPr>
        <w:t xml:space="preserve"> Bereits vollständig Geimpfte sollten gemäß STIKO-Empfehlungen die Möglichkeit der </w:t>
      </w:r>
      <w:r>
        <w:rPr>
          <w:rFonts w:ascii="Times New Roman" w:eastAsia="Times New Roman" w:hAnsi="Times New Roman" w:cs="Times New Roman"/>
          <w:b/>
          <w:bCs/>
          <w:sz w:val="24"/>
          <w:szCs w:val="24"/>
          <w:lang w:eastAsia="de-DE"/>
        </w:rPr>
        <w:t>Auffrischimpfung (</w:t>
      </w:r>
      <w:proofErr w:type="spellStart"/>
      <w:r>
        <w:rPr>
          <w:rFonts w:ascii="Times New Roman" w:eastAsia="Times New Roman" w:hAnsi="Times New Roman" w:cs="Times New Roman"/>
          <w:b/>
          <w:bCs/>
          <w:sz w:val="24"/>
          <w:szCs w:val="24"/>
          <w:lang w:eastAsia="de-DE"/>
        </w:rPr>
        <w:t>Boosterimpfung</w:t>
      </w:r>
      <w:proofErr w:type="spellEnd"/>
      <w:r>
        <w:rPr>
          <w:rFonts w:ascii="Times New Roman" w:eastAsia="Times New Roman" w:hAnsi="Times New Roman" w:cs="Times New Roman"/>
          <w:b/>
          <w:bCs/>
          <w:sz w:val="24"/>
          <w:szCs w:val="24"/>
          <w:lang w:eastAsia="de-DE"/>
        </w:rPr>
        <w:t>)</w:t>
      </w:r>
      <w:r>
        <w:rPr>
          <w:rFonts w:ascii="Times New Roman" w:eastAsia="Times New Roman" w:hAnsi="Times New Roman" w:cs="Times New Roman"/>
          <w:sz w:val="24"/>
          <w:szCs w:val="24"/>
          <w:lang w:eastAsia="de-DE"/>
        </w:rPr>
        <w:t xml:space="preserve"> nutzen. Für die Senkung der Neuinfektionen, den Schutz der Risikogruppen und die Minimierung schwerer Erkrankungen und Todesfälle ist die Impfung der Bevölkerung von zentraler Bedeutung. Alle Impfstoffe, die aktuell in Deutschland zur Verfügung stehen, schützen nach derzeitigen Erkenntnissen bei vollständiger Impfung sehr gut vor einer schweren Erkrankung; die Wirksamkeit der einzelnen Impfstoffe gegen die </w:t>
      </w:r>
      <w:proofErr w:type="spellStart"/>
      <w:r>
        <w:rPr>
          <w:rFonts w:ascii="Times New Roman" w:eastAsia="Times New Roman" w:hAnsi="Times New Roman" w:cs="Times New Roman"/>
          <w:sz w:val="24"/>
          <w:szCs w:val="24"/>
          <w:lang w:eastAsia="de-DE"/>
        </w:rPr>
        <w:t>Omikronvariante</w:t>
      </w:r>
      <w:proofErr w:type="spellEnd"/>
      <w:r>
        <w:rPr>
          <w:rFonts w:ascii="Times New Roman" w:eastAsia="Times New Roman" w:hAnsi="Times New Roman" w:cs="Times New Roman"/>
          <w:sz w:val="24"/>
          <w:szCs w:val="24"/>
          <w:lang w:eastAsia="de-DE"/>
        </w:rPr>
        <w:t xml:space="preserve"> ist noch nicht endgültig zu beurteilen. Die </w:t>
      </w:r>
      <w:proofErr w:type="spellStart"/>
      <w:r>
        <w:rPr>
          <w:rFonts w:ascii="Times New Roman" w:eastAsia="Times New Roman" w:hAnsi="Times New Roman" w:cs="Times New Roman"/>
          <w:sz w:val="24"/>
          <w:szCs w:val="24"/>
          <w:lang w:eastAsia="de-DE"/>
        </w:rPr>
        <w:t>mRNA</w:t>
      </w:r>
      <w:proofErr w:type="spellEnd"/>
      <w:r>
        <w:rPr>
          <w:rFonts w:ascii="Times New Roman" w:eastAsia="Times New Roman" w:hAnsi="Times New Roman" w:cs="Times New Roman"/>
          <w:sz w:val="24"/>
          <w:szCs w:val="24"/>
          <w:lang w:eastAsia="de-DE"/>
        </w:rPr>
        <w:t>-Impfstoffe sind mittlerweile für Personen ab 5 bzw. 12 Jahren zugelassen. Noch immer sind allerdings viele Menschen nicht gegen COVID-19 geimpft. Daher ist es ist wichtig, dass barrierefreie und aufsuchende Impfangebote gemacht werden, und dass sich möglichst viele Menschen impfen lassen.</w:t>
      </w:r>
    </w:p>
    <w:p>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Pr>
          <w:rFonts w:ascii="Times New Roman" w:eastAsia="Times New Roman" w:hAnsi="Times New Roman" w:cs="Times New Roman"/>
          <w:b/>
          <w:bCs/>
          <w:sz w:val="27"/>
          <w:szCs w:val="27"/>
          <w:lang w:eastAsia="de-DE"/>
        </w:rPr>
        <w:t>Übertragbarkeit</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SARS-CoV-2 ist grundsätzlich sehr leicht </w:t>
      </w:r>
      <w:proofErr w:type="gramStart"/>
      <w:r>
        <w:rPr>
          <w:rFonts w:ascii="Times New Roman" w:eastAsia="Times New Roman" w:hAnsi="Times New Roman" w:cs="Times New Roman"/>
          <w:sz w:val="24"/>
          <w:szCs w:val="24"/>
          <w:lang w:eastAsia="de-DE"/>
        </w:rPr>
        <w:t>von Mensch</w:t>
      </w:r>
      <w:proofErr w:type="gramEnd"/>
      <w:r>
        <w:rPr>
          <w:rFonts w:ascii="Times New Roman" w:eastAsia="Times New Roman" w:hAnsi="Times New Roman" w:cs="Times New Roman"/>
          <w:sz w:val="24"/>
          <w:szCs w:val="24"/>
          <w:lang w:eastAsia="de-DE"/>
        </w:rPr>
        <w:t xml:space="preserve"> zu Mensch übertragbar, dies gilt insbesondere für die Deltavariante und noch mehr für die </w:t>
      </w:r>
      <w:proofErr w:type="spellStart"/>
      <w:r>
        <w:rPr>
          <w:rFonts w:ascii="Times New Roman" w:eastAsia="Times New Roman" w:hAnsi="Times New Roman" w:cs="Times New Roman"/>
          <w:sz w:val="24"/>
          <w:szCs w:val="24"/>
          <w:lang w:eastAsia="de-DE"/>
        </w:rPr>
        <w:t>Omikronvariante</w:t>
      </w:r>
      <w:proofErr w:type="spellEnd"/>
      <w:r>
        <w:rPr>
          <w:rFonts w:ascii="Times New Roman" w:eastAsia="Times New Roman" w:hAnsi="Times New Roman" w:cs="Times New Roman"/>
          <w:sz w:val="24"/>
          <w:szCs w:val="24"/>
          <w:lang w:eastAsia="de-DE"/>
        </w:rPr>
        <w:t>, deren Anteil an allen SARS-CoV-2 praktisch täglich wächst. Die Übertragung durch Tröpfchen und Aerosole spielt eine besondere Rolle – v.a. in Innenräumen. Das Infektionsrisiko kann selbstwirksam durch das individuelle Verhalten (AHA+L-Regeln s.o.) reduziert werden. Bevölkerungsbezogene kontaktreduzierende Infektionsschutzmaßnahmen können das Infektionsrisiko zusätzlich mindern. Untersuchungen deuten darauf hin, dass die Impfung auch das Risiko einer Übertragung reduziert, diese aber nicht vollständig verhindert. Einfluss auf die Wahrscheinlichkeit der Übertragung haben neben Verhalten und Impfstatus auch die regionale Verbreitung und die Lebensbedingungen.</w:t>
      </w:r>
    </w:p>
    <w:p>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Pr>
          <w:rFonts w:ascii="Times New Roman" w:eastAsia="Times New Roman" w:hAnsi="Times New Roman" w:cs="Times New Roman"/>
          <w:b/>
          <w:bCs/>
          <w:sz w:val="27"/>
          <w:szCs w:val="27"/>
          <w:lang w:eastAsia="de-DE"/>
        </w:rPr>
        <w:t>Krankheitsschwere</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Bei der überwiegenden Zahl der Fälle verläuft die Erkrankung mild. Die Wahrscheinlichkeit für schwere und auch tödliche Krankheitsverläufe steigt mit zunehmendem Alter und bei bestehenden Vorerkrankungen. Es kann jedoch auch ohne bekannte Vorerkrankungen und bei jungen Menschen zu schweren oder lebensbedrohlichen Krankheitsverläufen kommen. Durch frühzeitige ärztliche Konsultation können individuell therapeutische Möglichkeiten geprüft werden (z.B. antivirale Therapie). Die Therapie schwerer Krankheitsverläufe ist komplex und erst wenige Therapieansätze haben sich hier in klinischen Studien als wirksam erwiesen. Langzeitfolgen können auch nach leichten Verläufen auftreten. Internationale Studien weisen darauf hin, dass die derzeit in Deutschland dominierende Deltavariante im Vergleich mit früher vorherrschenden Viren bzw. Varianten zu schwereren Krankheitsverläufen mit mehr Hospitalisierungen und häufigerer Todesfolge führt. Die Schwere der durch die </w:t>
      </w:r>
      <w:proofErr w:type="spellStart"/>
      <w:r>
        <w:rPr>
          <w:rFonts w:ascii="Times New Roman" w:eastAsia="Times New Roman" w:hAnsi="Times New Roman" w:cs="Times New Roman"/>
          <w:sz w:val="24"/>
          <w:szCs w:val="24"/>
          <w:lang w:eastAsia="de-DE"/>
        </w:rPr>
        <w:t>Omikronvariante</w:t>
      </w:r>
      <w:proofErr w:type="spellEnd"/>
      <w:r>
        <w:rPr>
          <w:rFonts w:ascii="Times New Roman" w:eastAsia="Times New Roman" w:hAnsi="Times New Roman" w:cs="Times New Roman"/>
          <w:sz w:val="24"/>
          <w:szCs w:val="24"/>
          <w:lang w:eastAsia="de-DE"/>
        </w:rPr>
        <w:t xml:space="preserve"> verursachten Erkrankung lässt sich derzeit noch nicht genau abschätzen, erste Studien zeigen im Vergleich mit Infektionen durch die Deltavariante ein geringeres Hospitalisierungsrisiko.</w:t>
      </w:r>
    </w:p>
    <w:p>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Pr>
          <w:rFonts w:ascii="Times New Roman" w:eastAsia="Times New Roman" w:hAnsi="Times New Roman" w:cs="Times New Roman"/>
          <w:b/>
          <w:bCs/>
          <w:sz w:val="27"/>
          <w:szCs w:val="27"/>
          <w:lang w:eastAsia="de-DE"/>
        </w:rPr>
        <w:t>Ressourcenbelastung des Gesundheitssystems</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Die Belastung des Gesundheitssystems hängt maßgeblich von der regionalen Verbreitung der Infektionen, den betroffenen Bevölkerungsgruppen, der Zahl schwerer Erkrankungen, den vorhandenen Kapazitäten, anderen Belastungen (z.B. durch eine steigende Influenza-Aktivität), Gegenmaßnahmen (z.B. Isolierung, Quarantäne, physische Distanzierung) sowie der Impfquote ab. Die Anforderungen sind aktuell in weiten Teilen Deutschlands sehr hoch, </w:t>
      </w:r>
      <w:r>
        <w:rPr>
          <w:rFonts w:ascii="Times New Roman" w:eastAsia="Times New Roman" w:hAnsi="Times New Roman" w:cs="Times New Roman"/>
          <w:sz w:val="24"/>
          <w:szCs w:val="24"/>
          <w:lang w:eastAsia="de-DE"/>
        </w:rPr>
        <w:lastRenderedPageBreak/>
        <w:t xml:space="preserve">sodass die Einrichtungen für die stationäre und ambulante medizinische Versorgung und Langzeitpflegeeinrichtungen sowie der Öffentliche Gesundheitsdienst (ÖGD) an der Belastungsgrenze sind. Auch die Laborkapazitäten sind regional erschöpft. Da die verfügbaren Impfstoffe einen guten Schutz vor einer COVID-19-Erkrankung (insbesondere vor schweren Erkrankungen) bieten, ist grundsätzlich davon auszugehen, dass eine hohe Impfquote zu einer Entlastung des Gesundheitssystems beiträgt. Aufgrund der immer noch zu niedrigen Impfquoten und kontaktreduzierenden Maßnahmen führt das aktuelle Infektionsgeschehen zu einer sehr hohen Zahl an schweren Erkrankungen und somit zu entsprechend hoher Belastung des Gesundheitssystems. Dadurch besteht derzeit in einigen Regionen Deutschlands eine deutliche Einschränkung der Kapazitäten für die adäquate medizinische und intensivmedizinische Versorgung von Patientinnen und Patienten mit anderen schweren Erkrankungen. Die Verbreitung der </w:t>
      </w:r>
      <w:proofErr w:type="spellStart"/>
      <w:r>
        <w:rPr>
          <w:rFonts w:ascii="Times New Roman" w:eastAsia="Times New Roman" w:hAnsi="Times New Roman" w:cs="Times New Roman"/>
          <w:sz w:val="24"/>
          <w:szCs w:val="24"/>
          <w:lang w:eastAsia="de-DE"/>
        </w:rPr>
        <w:t>Omikronvariante</w:t>
      </w:r>
      <w:proofErr w:type="spellEnd"/>
      <w:r>
        <w:rPr>
          <w:rFonts w:ascii="Times New Roman" w:eastAsia="Times New Roman" w:hAnsi="Times New Roman" w:cs="Times New Roman"/>
          <w:sz w:val="24"/>
          <w:szCs w:val="24"/>
          <w:lang w:eastAsia="de-DE"/>
        </w:rPr>
        <w:t>, insbesondere in Verbindung mit einer ansteigenden Influenza-Aktivität, kann dies noch deutlich verschärfen.</w:t>
      </w:r>
    </w:p>
    <w:p>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Pr>
          <w:rFonts w:ascii="Times New Roman" w:eastAsia="Times New Roman" w:hAnsi="Times New Roman" w:cs="Times New Roman"/>
          <w:b/>
          <w:bCs/>
          <w:sz w:val="36"/>
          <w:szCs w:val="36"/>
          <w:lang w:eastAsia="de-DE"/>
        </w:rPr>
        <w:t>Grundsätzliche Aspekte der Strategie zur Pandemiebewältigung</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Die drei Säulen der Strategie zur Bekämpfung von COVID-19 bestehen weiterhin in der Eindämmung der Ausbreitung der Erkrankung (Containment, dazu gehört auch die Kontaktnachverfolgung), Protektion (Schutz vulnerabler Gruppen, u.a. durch Impfung) und Milderung der Erkrankungsfolgen. Bei der Bewältigung der Pandemie wirken die verschiedenen Maßnahmen der Strategie zusammen und verstärken sich gegenseitig. Die aktuell vom RKI empfohlene Strategie ist unter </w:t>
      </w:r>
      <w:hyperlink r:id="rId5" w:tooltip="COVID-19-Strategiepapiere und Nationaler Pandemieplan" w:history="1">
        <w:r>
          <w:rPr>
            <w:rFonts w:ascii="Times New Roman" w:eastAsia="Times New Roman" w:hAnsi="Times New Roman" w:cs="Times New Roman"/>
            <w:color w:val="0000FF"/>
            <w:sz w:val="24"/>
            <w:szCs w:val="24"/>
            <w:u w:val="single"/>
            <w:lang w:eastAsia="de-DE"/>
          </w:rPr>
          <w:t>www.rki.de/control-covid</w:t>
        </w:r>
      </w:hyperlink>
      <w:r>
        <w:rPr>
          <w:rFonts w:ascii="Times New Roman" w:eastAsia="Times New Roman" w:hAnsi="Times New Roman" w:cs="Times New Roman"/>
          <w:sz w:val="24"/>
          <w:szCs w:val="24"/>
          <w:lang w:eastAsia="de-DE"/>
        </w:rPr>
        <w:t xml:space="preserve"> abrufbar.</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Massive gesamtgesellschaftliche Anstrengungen sind nötig, um das Infektionsgeschehen einzudämmen. Jede Bürgerin/jeder Bürger bzw. jede Einrichtung kann durch Einhaltung von Infektionsschutzmaßnahmen zur Verhinderung von Infektionen im privaten, beruflichen und öffentlichen Bereich beitragen. Der Öffentliche Gesundheitsdienst (ÖGD) auf allen Ebenen in Deutschland arbeitet weiter daran, Infektionen so früh wie möglich zu erkennen und Ausbrüche und Infektionsketten einzudämmen.</w:t>
      </w:r>
    </w:p>
    <w:p>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Pr>
          <w:rFonts w:ascii="Times New Roman" w:eastAsia="Times New Roman" w:hAnsi="Times New Roman" w:cs="Times New Roman"/>
          <w:b/>
          <w:bCs/>
          <w:sz w:val="36"/>
          <w:szCs w:val="36"/>
          <w:lang w:eastAsia="de-DE"/>
        </w:rPr>
        <w:t>Grundprinzipien der Risikobewertung des RKI</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Das RKI passt seine Risikobewertung anlassbezogen und situativ unter Berücksichtigung der aktuellen Datenlage an. Dazu gehören:</w:t>
      </w:r>
    </w:p>
    <w:p>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Übertragbarkeit: Fallzahlen und Trends in Deutschland und in anderen Staaten</w:t>
      </w:r>
    </w:p>
    <w:p>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Krankheitsschwere: Anteil schwerer, klinisch kritischer und tödlicher Krankheitsverläufe sowie Langzeitfolgen von COVID-19 in Deutschland und in anderen Staaten</w:t>
      </w:r>
    </w:p>
    <w:p>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Ressourcenbelastung des Gesundheitssystems (Öffentliches Gesundheitsdienst, stationäre Versorgung, intensivmedizinische Kapazität) in Deutschland und in anderen Staaten unter Berücksichtigung der jeweils getroffenen Maßnahmen sowie aller Möglichkeiten der Prävention und Kontrolle</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Die Risikobewertung ist die Beschreibung und Einschätzung der Situation für die Bevölkerung in Deutschland. Sie bezieht sich nicht auf die Gesundheit einzelner Individuen oder spezieller Gruppen in der Population und nimmt auch keine Vorhersagen für die Zukunft vor, sondern beschreibt die aktuelle Situation für die Gesamtbevölkerung. Die </w:t>
      </w:r>
      <w:r>
        <w:rPr>
          <w:rFonts w:ascii="Times New Roman" w:eastAsia="Times New Roman" w:hAnsi="Times New Roman" w:cs="Times New Roman"/>
          <w:sz w:val="24"/>
          <w:szCs w:val="24"/>
          <w:lang w:eastAsia="de-DE"/>
        </w:rPr>
        <w:lastRenderedPageBreak/>
        <w:t xml:space="preserve">Risikowahrnehmung in der Bevölkerung fließt nicht in die Risikobewertung des RKI ein. Siehe auch </w:t>
      </w:r>
      <w:hyperlink r:id="rId6" w:tooltip="COVID-19: Grundlagen für die Risikoeinschätzung des RKI" w:history="1">
        <w:r>
          <w:rPr>
            <w:rFonts w:ascii="Times New Roman" w:eastAsia="Times New Roman" w:hAnsi="Times New Roman" w:cs="Times New Roman"/>
            <w:color w:val="0000FF"/>
            <w:sz w:val="24"/>
            <w:szCs w:val="24"/>
            <w:u w:val="single"/>
            <w:lang w:eastAsia="de-DE"/>
          </w:rPr>
          <w:t>Grundlagen für die Risikoeinschätzung des RKI</w:t>
        </w:r>
      </w:hyperlink>
      <w:r>
        <w:rPr>
          <w:rFonts w:ascii="Times New Roman" w:eastAsia="Times New Roman" w:hAnsi="Times New Roman" w:cs="Times New Roman"/>
          <w:sz w:val="24"/>
          <w:szCs w:val="24"/>
          <w:lang w:eastAsia="de-DE"/>
        </w:rPr>
        <w:t>.</w:t>
      </w:r>
    </w:p>
    <w:p>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Pr>
          <w:rFonts w:ascii="Times New Roman" w:eastAsia="Times New Roman" w:hAnsi="Times New Roman" w:cs="Times New Roman"/>
          <w:b/>
          <w:bCs/>
          <w:sz w:val="36"/>
          <w:szCs w:val="36"/>
          <w:lang w:eastAsia="de-DE"/>
        </w:rPr>
        <w:t>Weitere Informationen</w:t>
      </w:r>
    </w:p>
    <w:p>
      <w:pPr>
        <w:numPr>
          <w:ilvl w:val="0"/>
          <w:numId w:val="2"/>
        </w:numPr>
        <w:spacing w:before="100" w:beforeAutospacing="1" w:after="100" w:afterAutospacing="1" w:line="240" w:lineRule="auto"/>
        <w:rPr>
          <w:rFonts w:ascii="Times New Roman" w:eastAsia="Times New Roman" w:hAnsi="Times New Roman" w:cs="Times New Roman"/>
          <w:sz w:val="24"/>
          <w:szCs w:val="24"/>
          <w:lang w:eastAsia="de-DE"/>
        </w:rPr>
      </w:pPr>
      <w:hyperlink r:id="rId7" w:tgtFrame="_self" w:tooltip="Alle Daten und Empfehlungen des Robert Koch-Instituts zur Coronavirus-Krankheit-2019: www.rki.de/covid-19" w:history="1">
        <w:r>
          <w:rPr>
            <w:rFonts w:ascii="Times New Roman" w:eastAsia="Times New Roman" w:hAnsi="Times New Roman" w:cs="Times New Roman"/>
            <w:color w:val="0000FF"/>
            <w:sz w:val="24"/>
            <w:szCs w:val="24"/>
            <w:u w:val="single"/>
            <w:lang w:eastAsia="de-DE"/>
          </w:rPr>
          <w:t>Alle Daten und Empfehlungen des RKI: www.rki.de/covid-19</w:t>
        </w:r>
      </w:hyperlink>
    </w:p>
    <w:p>
      <w:pPr>
        <w:numPr>
          <w:ilvl w:val="0"/>
          <w:numId w:val="2"/>
        </w:numPr>
        <w:spacing w:before="100" w:beforeAutospacing="1" w:after="100" w:afterAutospacing="1" w:line="240" w:lineRule="auto"/>
        <w:rPr>
          <w:rFonts w:ascii="Times New Roman" w:eastAsia="Times New Roman" w:hAnsi="Times New Roman" w:cs="Times New Roman"/>
          <w:sz w:val="24"/>
          <w:szCs w:val="24"/>
          <w:lang w:eastAsia="de-DE"/>
        </w:rPr>
      </w:pPr>
      <w:hyperlink r:id="rId8" w:tgtFrame="_self" w:tooltip="Aktuelle Strategie ControlCOVID" w:history="1">
        <w:r>
          <w:rPr>
            <w:rFonts w:ascii="Times New Roman" w:eastAsia="Times New Roman" w:hAnsi="Times New Roman" w:cs="Times New Roman"/>
            <w:color w:val="0000FF"/>
            <w:sz w:val="24"/>
            <w:szCs w:val="24"/>
            <w:u w:val="single"/>
            <w:lang w:eastAsia="de-DE"/>
          </w:rPr>
          <w:t xml:space="preserve">Aktuelle Strategie </w:t>
        </w:r>
        <w:proofErr w:type="spellStart"/>
        <w:r>
          <w:rPr>
            <w:rFonts w:ascii="Times New Roman" w:eastAsia="Times New Roman" w:hAnsi="Times New Roman" w:cs="Times New Roman"/>
            <w:color w:val="0000FF"/>
            <w:sz w:val="24"/>
            <w:szCs w:val="24"/>
            <w:u w:val="single"/>
            <w:lang w:eastAsia="de-DE"/>
          </w:rPr>
          <w:t>ControlCOVID</w:t>
        </w:r>
        <w:proofErr w:type="spellEnd"/>
        <w:r>
          <w:rPr>
            <w:rFonts w:ascii="Times New Roman" w:eastAsia="Times New Roman" w:hAnsi="Times New Roman" w:cs="Times New Roman"/>
            <w:color w:val="0000FF"/>
            <w:sz w:val="24"/>
            <w:szCs w:val="24"/>
            <w:u w:val="single"/>
            <w:lang w:eastAsia="de-DE"/>
          </w:rPr>
          <w:t xml:space="preserve"> </w:t>
        </w:r>
      </w:hyperlink>
    </w:p>
    <w:p>
      <w:pPr>
        <w:numPr>
          <w:ilvl w:val="0"/>
          <w:numId w:val="2"/>
        </w:numPr>
        <w:spacing w:before="100" w:beforeAutospacing="1" w:after="100" w:afterAutospacing="1" w:line="240" w:lineRule="auto"/>
        <w:rPr>
          <w:rFonts w:ascii="Times New Roman" w:eastAsia="Times New Roman" w:hAnsi="Times New Roman" w:cs="Times New Roman"/>
          <w:sz w:val="24"/>
          <w:szCs w:val="24"/>
          <w:lang w:eastAsia="de-DE"/>
        </w:rPr>
      </w:pPr>
      <w:hyperlink r:id="rId9" w:tgtFrame="_self" w:tooltip="Steckbrief zu Krankheit und Erreger" w:history="1">
        <w:r>
          <w:rPr>
            <w:rFonts w:ascii="Times New Roman" w:eastAsia="Times New Roman" w:hAnsi="Times New Roman" w:cs="Times New Roman"/>
            <w:color w:val="0000FF"/>
            <w:sz w:val="24"/>
            <w:szCs w:val="24"/>
            <w:u w:val="single"/>
            <w:lang w:eastAsia="de-DE"/>
          </w:rPr>
          <w:t>Steckbrief zu Krankheit und Erreger</w:t>
        </w:r>
      </w:hyperlink>
    </w:p>
    <w:p>
      <w:pPr>
        <w:numPr>
          <w:ilvl w:val="0"/>
          <w:numId w:val="2"/>
        </w:numPr>
        <w:spacing w:before="100" w:beforeAutospacing="1" w:after="100" w:afterAutospacing="1" w:line="240" w:lineRule="auto"/>
        <w:rPr>
          <w:rFonts w:ascii="Times New Roman" w:eastAsia="Times New Roman" w:hAnsi="Times New Roman" w:cs="Times New Roman"/>
          <w:sz w:val="24"/>
          <w:szCs w:val="24"/>
          <w:lang w:eastAsia="de-DE"/>
        </w:rPr>
      </w:pPr>
      <w:hyperlink r:id="rId10" w:tgtFrame="_blank" w:tooltip="Externer Link ESRI: Corona Dashboard mit täglich aktualisierten Fallzahlen nach Bundesland und Landkreis (Link führt auf externe Seite und unterliegt nicht der datenschutzrechtlichen Verantwortung des RKI) (Öffnet neues Fenster)" w:history="1">
        <w:r>
          <w:rPr>
            <w:rFonts w:ascii="Times New Roman" w:eastAsia="Times New Roman" w:hAnsi="Times New Roman" w:cs="Times New Roman"/>
            <w:color w:val="0000FF"/>
            <w:sz w:val="24"/>
            <w:szCs w:val="24"/>
            <w:u w:val="single"/>
            <w:lang w:eastAsia="de-DE"/>
          </w:rPr>
          <w:t>Dashboard https://corona.rki.de: Aktuelle Fallzahlen bis auf Landkreisebene</w:t>
        </w:r>
      </w:hyperlink>
    </w:p>
    <w:p>
      <w:pPr>
        <w:numPr>
          <w:ilvl w:val="0"/>
          <w:numId w:val="2"/>
        </w:numPr>
        <w:spacing w:before="100" w:beforeAutospacing="1" w:after="100" w:afterAutospacing="1" w:line="240" w:lineRule="auto"/>
        <w:rPr>
          <w:rFonts w:ascii="Times New Roman" w:eastAsia="Times New Roman" w:hAnsi="Times New Roman" w:cs="Times New Roman"/>
          <w:sz w:val="24"/>
          <w:szCs w:val="24"/>
          <w:lang w:eastAsia="de-DE"/>
        </w:rPr>
      </w:pPr>
      <w:hyperlink r:id="rId11" w:tgtFrame="_self" w:tooltip="Situationsberichte, Wochenberichte und COVID-19-Trends im Überblick" w:history="1">
        <w:r>
          <w:rPr>
            <w:rFonts w:ascii="Times New Roman" w:eastAsia="Times New Roman" w:hAnsi="Times New Roman" w:cs="Times New Roman"/>
            <w:color w:val="0000FF"/>
            <w:sz w:val="24"/>
            <w:szCs w:val="24"/>
            <w:u w:val="single"/>
            <w:lang w:eastAsia="de-DE"/>
          </w:rPr>
          <w:t>Situationsberichte, ausführliche Wochenberichte und COVID-19-Trends</w:t>
        </w:r>
      </w:hyperlink>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Stand: 05.01.2022</w:t>
      </w:r>
    </w:p>
    <w:p>
      <w:pPr>
        <w:spacing w:before="100" w:beforeAutospacing="1" w:after="100" w:afterAutospacing="1" w:line="240" w:lineRule="auto"/>
        <w:rPr>
          <w:rFonts w:ascii="Times New Roman" w:eastAsia="Times New Roman" w:hAnsi="Times New Roman" w:cs="Times New Roman"/>
          <w:sz w:val="24"/>
          <w:szCs w:val="24"/>
          <w:lang w:eastAsia="de-DE"/>
        </w:rPr>
      </w:pPr>
      <w:hyperlink r:id="rId12" w:anchor="Start" w:tooltip="Zum Seitenanfang" w:history="1">
        <w:r>
          <w:rPr>
            <w:rFonts w:ascii="Times New Roman" w:eastAsia="Times New Roman" w:hAnsi="Times New Roman" w:cs="Times New Roman"/>
            <w:color w:val="0000FF"/>
            <w:sz w:val="24"/>
            <w:szCs w:val="24"/>
            <w:u w:val="single"/>
            <w:lang w:eastAsia="de-DE"/>
          </w:rPr>
          <w:t>nach oben</w:t>
        </w:r>
      </w:hyperlink>
      <w:bookmarkStart w:id="0" w:name="_GoBack"/>
      <w:bookmarkEnd w:id="0"/>
    </w:p>
    <w:sectPr>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BB211B"/>
    <w:multiLevelType w:val="multilevel"/>
    <w:tmpl w:val="66A8A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E700B83"/>
    <w:multiLevelType w:val="multilevel"/>
    <w:tmpl w:val="B6046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E9358B0"/>
    <w:multiLevelType w:val="multilevel"/>
    <w:tmpl w:val="55367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14B1421"/>
    <w:multiLevelType w:val="multilevel"/>
    <w:tmpl w:val="D63C7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47B5CD9"/>
    <w:multiLevelType w:val="multilevel"/>
    <w:tmpl w:val="8878D5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5200E5E"/>
    <w:multiLevelType w:val="multilevel"/>
    <w:tmpl w:val="9DC29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C95774F"/>
    <w:multiLevelType w:val="multilevel"/>
    <w:tmpl w:val="A80AF3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6"/>
  </w:num>
  <w:num w:numId="3">
    <w:abstractNumId w:val="2"/>
  </w:num>
  <w:num w:numId="4">
    <w:abstractNumId w:val="0"/>
  </w:num>
  <w:num w:numId="5">
    <w:abstractNumId w:val="5"/>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694E8C-9A39-44CE-9156-D3EC77283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2582997">
      <w:bodyDiv w:val="1"/>
      <w:marLeft w:val="0"/>
      <w:marRight w:val="0"/>
      <w:marTop w:val="0"/>
      <w:marBottom w:val="0"/>
      <w:divBdr>
        <w:top w:val="none" w:sz="0" w:space="0" w:color="auto"/>
        <w:left w:val="none" w:sz="0" w:space="0" w:color="auto"/>
        <w:bottom w:val="none" w:sz="0" w:space="0" w:color="auto"/>
        <w:right w:val="none" w:sz="0" w:space="0" w:color="auto"/>
      </w:divBdr>
      <w:divsChild>
        <w:div w:id="2030374333">
          <w:marLeft w:val="0"/>
          <w:marRight w:val="0"/>
          <w:marTop w:val="0"/>
          <w:marBottom w:val="0"/>
          <w:divBdr>
            <w:top w:val="none" w:sz="0" w:space="0" w:color="auto"/>
            <w:left w:val="none" w:sz="0" w:space="0" w:color="auto"/>
            <w:bottom w:val="none" w:sz="0" w:space="0" w:color="auto"/>
            <w:right w:val="none" w:sz="0" w:space="0" w:color="auto"/>
          </w:divBdr>
          <w:divsChild>
            <w:div w:id="1094084291">
              <w:marLeft w:val="0"/>
              <w:marRight w:val="0"/>
              <w:marTop w:val="0"/>
              <w:marBottom w:val="0"/>
              <w:divBdr>
                <w:top w:val="none" w:sz="0" w:space="0" w:color="auto"/>
                <w:left w:val="none" w:sz="0" w:space="0" w:color="auto"/>
                <w:bottom w:val="none" w:sz="0" w:space="0" w:color="auto"/>
                <w:right w:val="none" w:sz="0" w:space="0" w:color="auto"/>
              </w:divBdr>
              <w:divsChild>
                <w:div w:id="964694109">
                  <w:marLeft w:val="0"/>
                  <w:marRight w:val="0"/>
                  <w:marTop w:val="0"/>
                  <w:marBottom w:val="0"/>
                  <w:divBdr>
                    <w:top w:val="none" w:sz="0" w:space="0" w:color="auto"/>
                    <w:left w:val="none" w:sz="0" w:space="0" w:color="auto"/>
                    <w:bottom w:val="none" w:sz="0" w:space="0" w:color="auto"/>
                    <w:right w:val="none" w:sz="0" w:space="0" w:color="auto"/>
                  </w:divBdr>
                  <w:divsChild>
                    <w:div w:id="1183860195">
                      <w:marLeft w:val="0"/>
                      <w:marRight w:val="0"/>
                      <w:marTop w:val="0"/>
                      <w:marBottom w:val="0"/>
                      <w:divBdr>
                        <w:top w:val="none" w:sz="0" w:space="0" w:color="auto"/>
                        <w:left w:val="none" w:sz="0" w:space="0" w:color="auto"/>
                        <w:bottom w:val="none" w:sz="0" w:space="0" w:color="auto"/>
                        <w:right w:val="none" w:sz="0" w:space="0" w:color="auto"/>
                      </w:divBdr>
                      <w:divsChild>
                        <w:div w:id="704986522">
                          <w:marLeft w:val="0"/>
                          <w:marRight w:val="0"/>
                          <w:marTop w:val="0"/>
                          <w:marBottom w:val="0"/>
                          <w:divBdr>
                            <w:top w:val="none" w:sz="0" w:space="0" w:color="auto"/>
                            <w:left w:val="none" w:sz="0" w:space="0" w:color="auto"/>
                            <w:bottom w:val="none" w:sz="0" w:space="0" w:color="auto"/>
                            <w:right w:val="none" w:sz="0" w:space="0" w:color="auto"/>
                          </w:divBdr>
                          <w:divsChild>
                            <w:div w:id="968319207">
                              <w:marLeft w:val="0"/>
                              <w:marRight w:val="0"/>
                              <w:marTop w:val="0"/>
                              <w:marBottom w:val="0"/>
                              <w:divBdr>
                                <w:top w:val="none" w:sz="0" w:space="0" w:color="auto"/>
                                <w:left w:val="none" w:sz="0" w:space="0" w:color="auto"/>
                                <w:bottom w:val="none" w:sz="0" w:space="0" w:color="auto"/>
                                <w:right w:val="none" w:sz="0" w:space="0" w:color="auto"/>
                              </w:divBdr>
                              <w:divsChild>
                                <w:div w:id="1192457115">
                                  <w:marLeft w:val="0"/>
                                  <w:marRight w:val="0"/>
                                  <w:marTop w:val="0"/>
                                  <w:marBottom w:val="0"/>
                                  <w:divBdr>
                                    <w:top w:val="none" w:sz="0" w:space="0" w:color="auto"/>
                                    <w:left w:val="none" w:sz="0" w:space="0" w:color="auto"/>
                                    <w:bottom w:val="none" w:sz="0" w:space="0" w:color="auto"/>
                                    <w:right w:val="none" w:sz="0" w:space="0" w:color="auto"/>
                                  </w:divBdr>
                                  <w:divsChild>
                                    <w:div w:id="997657627">
                                      <w:marLeft w:val="0"/>
                                      <w:marRight w:val="0"/>
                                      <w:marTop w:val="0"/>
                                      <w:marBottom w:val="0"/>
                                      <w:divBdr>
                                        <w:top w:val="none" w:sz="0" w:space="0" w:color="auto"/>
                                        <w:left w:val="none" w:sz="0" w:space="0" w:color="auto"/>
                                        <w:bottom w:val="none" w:sz="0" w:space="0" w:color="auto"/>
                                        <w:right w:val="none" w:sz="0" w:space="0" w:color="auto"/>
                                      </w:divBdr>
                                    </w:div>
                                    <w:div w:id="1971129820">
                                      <w:marLeft w:val="0"/>
                                      <w:marRight w:val="0"/>
                                      <w:marTop w:val="0"/>
                                      <w:marBottom w:val="0"/>
                                      <w:divBdr>
                                        <w:top w:val="none" w:sz="0" w:space="0" w:color="auto"/>
                                        <w:left w:val="none" w:sz="0" w:space="0" w:color="auto"/>
                                        <w:bottom w:val="none" w:sz="0" w:space="0" w:color="auto"/>
                                        <w:right w:val="none" w:sz="0" w:space="0" w:color="auto"/>
                                      </w:divBdr>
                                    </w:div>
                                  </w:divsChild>
                                </w:div>
                                <w:div w:id="1499074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9066637">
                      <w:marLeft w:val="0"/>
                      <w:marRight w:val="0"/>
                      <w:marTop w:val="0"/>
                      <w:marBottom w:val="0"/>
                      <w:divBdr>
                        <w:top w:val="none" w:sz="0" w:space="0" w:color="auto"/>
                        <w:left w:val="none" w:sz="0" w:space="0" w:color="auto"/>
                        <w:bottom w:val="none" w:sz="0" w:space="0" w:color="auto"/>
                        <w:right w:val="none" w:sz="0" w:space="0" w:color="auto"/>
                      </w:divBdr>
                      <w:divsChild>
                        <w:div w:id="1862821770">
                          <w:marLeft w:val="0"/>
                          <w:marRight w:val="0"/>
                          <w:marTop w:val="0"/>
                          <w:marBottom w:val="0"/>
                          <w:divBdr>
                            <w:top w:val="none" w:sz="0" w:space="0" w:color="auto"/>
                            <w:left w:val="none" w:sz="0" w:space="0" w:color="auto"/>
                            <w:bottom w:val="none" w:sz="0" w:space="0" w:color="auto"/>
                            <w:right w:val="none" w:sz="0" w:space="0" w:color="auto"/>
                          </w:divBdr>
                          <w:divsChild>
                            <w:div w:id="718162482">
                              <w:marLeft w:val="0"/>
                              <w:marRight w:val="0"/>
                              <w:marTop w:val="0"/>
                              <w:marBottom w:val="0"/>
                              <w:divBdr>
                                <w:top w:val="none" w:sz="0" w:space="0" w:color="auto"/>
                                <w:left w:val="none" w:sz="0" w:space="0" w:color="auto"/>
                                <w:bottom w:val="none" w:sz="0" w:space="0" w:color="auto"/>
                                <w:right w:val="none" w:sz="0" w:space="0" w:color="auto"/>
                              </w:divBdr>
                              <w:divsChild>
                                <w:div w:id="132874153">
                                  <w:marLeft w:val="0"/>
                                  <w:marRight w:val="0"/>
                                  <w:marTop w:val="0"/>
                                  <w:marBottom w:val="0"/>
                                  <w:divBdr>
                                    <w:top w:val="none" w:sz="0" w:space="0" w:color="auto"/>
                                    <w:left w:val="none" w:sz="0" w:space="0" w:color="auto"/>
                                    <w:bottom w:val="none" w:sz="0" w:space="0" w:color="auto"/>
                                    <w:right w:val="none" w:sz="0" w:space="0" w:color="auto"/>
                                  </w:divBdr>
                                  <w:divsChild>
                                    <w:div w:id="1126117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8720878">
                          <w:marLeft w:val="0"/>
                          <w:marRight w:val="0"/>
                          <w:marTop w:val="0"/>
                          <w:marBottom w:val="0"/>
                          <w:divBdr>
                            <w:top w:val="none" w:sz="0" w:space="0" w:color="auto"/>
                            <w:left w:val="none" w:sz="0" w:space="0" w:color="auto"/>
                            <w:bottom w:val="none" w:sz="0" w:space="0" w:color="auto"/>
                            <w:right w:val="none" w:sz="0" w:space="0" w:color="auto"/>
                          </w:divBdr>
                          <w:divsChild>
                            <w:div w:id="20864691">
                              <w:marLeft w:val="0"/>
                              <w:marRight w:val="0"/>
                              <w:marTop w:val="0"/>
                              <w:marBottom w:val="0"/>
                              <w:divBdr>
                                <w:top w:val="none" w:sz="0" w:space="0" w:color="auto"/>
                                <w:left w:val="none" w:sz="0" w:space="0" w:color="auto"/>
                                <w:bottom w:val="none" w:sz="0" w:space="0" w:color="auto"/>
                                <w:right w:val="none" w:sz="0" w:space="0" w:color="auto"/>
                              </w:divBdr>
                              <w:divsChild>
                                <w:div w:id="1676226266">
                                  <w:marLeft w:val="0"/>
                                  <w:marRight w:val="0"/>
                                  <w:marTop w:val="0"/>
                                  <w:marBottom w:val="0"/>
                                  <w:divBdr>
                                    <w:top w:val="none" w:sz="0" w:space="0" w:color="auto"/>
                                    <w:left w:val="none" w:sz="0" w:space="0" w:color="auto"/>
                                    <w:bottom w:val="none" w:sz="0" w:space="0" w:color="auto"/>
                                    <w:right w:val="none" w:sz="0" w:space="0" w:color="auto"/>
                                  </w:divBdr>
                                  <w:divsChild>
                                    <w:div w:id="1978684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4494797">
                          <w:marLeft w:val="0"/>
                          <w:marRight w:val="0"/>
                          <w:marTop w:val="0"/>
                          <w:marBottom w:val="0"/>
                          <w:divBdr>
                            <w:top w:val="none" w:sz="0" w:space="0" w:color="auto"/>
                            <w:left w:val="none" w:sz="0" w:space="0" w:color="auto"/>
                            <w:bottom w:val="none" w:sz="0" w:space="0" w:color="auto"/>
                            <w:right w:val="none" w:sz="0" w:space="0" w:color="auto"/>
                          </w:divBdr>
                          <w:divsChild>
                            <w:div w:id="2078166176">
                              <w:marLeft w:val="0"/>
                              <w:marRight w:val="0"/>
                              <w:marTop w:val="0"/>
                              <w:marBottom w:val="0"/>
                              <w:divBdr>
                                <w:top w:val="none" w:sz="0" w:space="0" w:color="auto"/>
                                <w:left w:val="none" w:sz="0" w:space="0" w:color="auto"/>
                                <w:bottom w:val="none" w:sz="0" w:space="0" w:color="auto"/>
                                <w:right w:val="none" w:sz="0" w:space="0" w:color="auto"/>
                              </w:divBdr>
                            </w:div>
                          </w:divsChild>
                        </w:div>
                        <w:div w:id="278613041">
                          <w:marLeft w:val="0"/>
                          <w:marRight w:val="0"/>
                          <w:marTop w:val="0"/>
                          <w:marBottom w:val="0"/>
                          <w:divBdr>
                            <w:top w:val="none" w:sz="0" w:space="0" w:color="auto"/>
                            <w:left w:val="none" w:sz="0" w:space="0" w:color="auto"/>
                            <w:bottom w:val="none" w:sz="0" w:space="0" w:color="auto"/>
                            <w:right w:val="none" w:sz="0" w:space="0" w:color="auto"/>
                          </w:divBdr>
                          <w:divsChild>
                            <w:div w:id="573705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ki.de/DE/Content/InfAZ/N/Neuartiges_Coronavirus/ZS/Pandemieplan_Strategien.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rki.de/DE/Content/InfAZ/N/Neuartiges_Coronavirus/nCoV.html" TargetMode="External"/><Relationship Id="rId12" Type="http://schemas.openxmlformats.org/officeDocument/2006/relationships/hyperlink" Target="https://www.rki.de/DE/Content/InfAZ/N/Neuartiges_Coronavirus/Risikobewertung.html;jsessionid=76827A5B7D07A88D3537C6C1EB27858D.internet082?nn=1349088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rki.de/DE/Content/InfAZ/N/Neuartiges_Coronavirus/Risikobewertung_Grundlage.html;jsessionid=76827A5B7D07A88D3537C6C1EB27858D.internet082?nn=13490888" TargetMode="External"/><Relationship Id="rId11" Type="http://schemas.openxmlformats.org/officeDocument/2006/relationships/hyperlink" Target="https://www.rki.de/DE/Content/InfAZ/N/Neuartiges_Coronavirus/Situationsberichte/Gesamt.html" TargetMode="External"/><Relationship Id="rId5" Type="http://schemas.openxmlformats.org/officeDocument/2006/relationships/hyperlink" Target="https://www.rki.de/DE/Content/InfAZ/N/Neuartiges_Coronavirus/ZS/Pandemieplan_Strategien.html;jsessionid=76827A5B7D07A88D3537C6C1EB27858D.internet082?nn=13490888" TargetMode="External"/><Relationship Id="rId10" Type="http://schemas.openxmlformats.org/officeDocument/2006/relationships/hyperlink" Target="https://corona.rki.de" TargetMode="External"/><Relationship Id="rId4" Type="http://schemas.openxmlformats.org/officeDocument/2006/relationships/webSettings" Target="webSettings.xml"/><Relationship Id="rId9" Type="http://schemas.openxmlformats.org/officeDocument/2006/relationships/hyperlink" Target="https://www.rki.de/DE/Content/InfAZ/N/Neuartiges_Coronavirus/Steckbrief.html" TargetMode="External"/><Relationship Id="rId14"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2088</Words>
  <Characters>13157</Characters>
  <Application>Microsoft Office Word</Application>
  <DocSecurity>0</DocSecurity>
  <Lines>109</Lines>
  <Paragraphs>30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Rexroth, Ute</dc:creator>
  <cp:keywords/>
  <dc:description/>
  <cp:lastModifiedBy>Rexroth, Ute</cp:lastModifiedBy>
  <cp:revision>1</cp:revision>
  <dcterms:created xsi:type="dcterms:W3CDTF">2022-01-12T08:08:00Z</dcterms:created>
  <dcterms:modified xsi:type="dcterms:W3CDTF">2022-01-12T08:10:00Z</dcterms:modified>
</cp:coreProperties>
</file>