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Pr>
          <w:rFonts w:ascii="Times New Roman" w:eastAsia="Times New Roman" w:hAnsi="Times New Roman" w:cs="Times New Roman"/>
          <w:b/>
          <w:bCs/>
          <w:kern w:val="36"/>
          <w:sz w:val="48"/>
          <w:szCs w:val="48"/>
          <w:lang w:eastAsia="de-DE"/>
        </w:rPr>
        <w:t>Fachliche Vorgaben des RKI für COVID-19-Genesenennachweise</w:t>
      </w:r>
    </w:p>
    <w:p>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Gemäß </w:t>
      </w:r>
      <w:hyperlink r:id="rId5" w:tgtFrame="_blank" w:tooltip="Externer Link Verordnung zur Änderung der COVID-19-Schutzmaßnahmen-Ausnahmenverordnung und der Coronavirus-Einreiseverordnung vom 14. Januar 2022 (Öffnet neues Fenster)" w:history="1">
        <w:r>
          <w:rPr>
            <w:rFonts w:ascii="Times New Roman" w:eastAsia="Times New Roman" w:hAnsi="Times New Roman" w:cs="Times New Roman"/>
            <w:color w:val="0000FF"/>
            <w:sz w:val="24"/>
            <w:szCs w:val="24"/>
            <w:u w:val="single"/>
            <w:lang w:eastAsia="de-DE"/>
          </w:rPr>
          <w:t>Verordnung zur Änderung der COVID-19-Schutzmaßnahmen-Ausnahmenverordnung und der Coronavirus-Einreiseverordnung vom 14.01.2022</w:t>
        </w:r>
      </w:hyperlink>
      <w:r>
        <w:rPr>
          <w:rFonts w:ascii="Times New Roman" w:eastAsia="Times New Roman" w:hAnsi="Times New Roman" w:cs="Times New Roman"/>
          <w:sz w:val="24"/>
          <w:szCs w:val="24"/>
          <w:lang w:eastAsia="de-DE"/>
        </w:rPr>
        <w:t xml:space="preserve"> weist das RKI aus, welche fachlichen Vorgaben ein </w:t>
      </w:r>
      <w:proofErr w:type="spellStart"/>
      <w:r>
        <w:rPr>
          <w:rFonts w:ascii="Times New Roman" w:eastAsia="Times New Roman" w:hAnsi="Times New Roman" w:cs="Times New Roman"/>
          <w:sz w:val="24"/>
          <w:szCs w:val="24"/>
          <w:lang w:eastAsia="de-DE"/>
        </w:rPr>
        <w:t>Genesenennachweis</w:t>
      </w:r>
      <w:proofErr w:type="spellEnd"/>
      <w:r>
        <w:rPr>
          <w:rFonts w:ascii="Times New Roman" w:eastAsia="Times New Roman" w:hAnsi="Times New Roman" w:cs="Times New Roman"/>
          <w:sz w:val="24"/>
          <w:szCs w:val="24"/>
          <w:lang w:eastAsia="de-DE"/>
        </w:rPr>
        <w:t xml:space="preserve"> erfüllen muss.</w:t>
      </w:r>
    </w:p>
    <w:p>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Die Festlegung der Vorgaben erfolgt unter Berücksichtigung des aktuellen Stands der medizinischen Wissenschaft hinsichtlich folgender Kriterien:</w:t>
      </w:r>
    </w:p>
    <w:p>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a) Art der Testung zum Nachweis der vorherigen Infektion,</w:t>
      </w:r>
    </w:p>
    <w:p>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b) Zeit, die nach der Testung zum Nachweis der vorherigen Infektion vergangen sein muss, oder Nachweis zur Aufhebung der aufgrund der vorherigen Infektion erfolgten Absonderung,</w:t>
      </w:r>
    </w:p>
    <w:p>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c) Zeit, die die Testung zum Nachweis der vorherigen Infektion höchstens zurückliegen darf.</w:t>
      </w:r>
    </w:p>
    <w:p>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Pr>
          <w:rFonts w:ascii="Times New Roman" w:eastAsia="Times New Roman" w:hAnsi="Times New Roman" w:cs="Times New Roman"/>
          <w:b/>
          <w:bCs/>
          <w:sz w:val="36"/>
          <w:szCs w:val="36"/>
          <w:lang w:eastAsia="de-DE"/>
        </w:rPr>
        <w:t xml:space="preserve">Fachliche Vorgaben für </w:t>
      </w:r>
      <w:proofErr w:type="spellStart"/>
      <w:r>
        <w:rPr>
          <w:rFonts w:ascii="Times New Roman" w:eastAsia="Times New Roman" w:hAnsi="Times New Roman" w:cs="Times New Roman"/>
          <w:b/>
          <w:bCs/>
          <w:sz w:val="36"/>
          <w:szCs w:val="36"/>
          <w:lang w:eastAsia="de-DE"/>
        </w:rPr>
        <w:t>Genesenennachweise</w:t>
      </w:r>
      <w:proofErr w:type="spellEnd"/>
      <w:r>
        <w:rPr>
          <w:rFonts w:ascii="Times New Roman" w:eastAsia="Times New Roman" w:hAnsi="Times New Roman" w:cs="Times New Roman"/>
          <w:b/>
          <w:bCs/>
          <w:sz w:val="36"/>
          <w:szCs w:val="36"/>
          <w:lang w:eastAsia="de-DE"/>
        </w:rPr>
        <w:t xml:space="preserve">, mit Wirkung vom </w:t>
      </w:r>
      <w:commentRangeStart w:id="0"/>
      <w:r>
        <w:rPr>
          <w:rFonts w:ascii="Times New Roman" w:eastAsia="Times New Roman" w:hAnsi="Times New Roman" w:cs="Times New Roman"/>
          <w:b/>
          <w:bCs/>
          <w:sz w:val="36"/>
          <w:szCs w:val="36"/>
          <w:lang w:eastAsia="de-DE"/>
        </w:rPr>
        <w:t>15.01.2022</w:t>
      </w:r>
      <w:commentRangeEnd w:id="0"/>
      <w:r>
        <w:rPr>
          <w:rStyle w:val="Kommentarzeichen"/>
        </w:rPr>
        <w:commentReference w:id="0"/>
      </w:r>
      <w:r>
        <w:rPr>
          <w:rFonts w:ascii="Times New Roman" w:eastAsia="Times New Roman" w:hAnsi="Times New Roman" w:cs="Times New Roman"/>
          <w:b/>
          <w:bCs/>
          <w:sz w:val="36"/>
          <w:szCs w:val="36"/>
          <w:lang w:eastAsia="de-DE"/>
        </w:rPr>
        <w:t>:</w:t>
      </w:r>
    </w:p>
    <w:p>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Ein </w:t>
      </w:r>
      <w:proofErr w:type="spellStart"/>
      <w:r>
        <w:rPr>
          <w:rFonts w:ascii="Times New Roman" w:eastAsia="Times New Roman" w:hAnsi="Times New Roman" w:cs="Times New Roman"/>
          <w:sz w:val="24"/>
          <w:szCs w:val="24"/>
          <w:lang w:eastAsia="de-DE"/>
        </w:rPr>
        <w:t>Genesenennachweis</w:t>
      </w:r>
      <w:proofErr w:type="spellEnd"/>
      <w:r>
        <w:rPr>
          <w:rFonts w:ascii="Times New Roman" w:eastAsia="Times New Roman" w:hAnsi="Times New Roman" w:cs="Times New Roman"/>
          <w:sz w:val="24"/>
          <w:szCs w:val="24"/>
          <w:lang w:eastAsia="de-DE"/>
        </w:rPr>
        <w:t xml:space="preserve"> im Sinne der COVID-19-Schutzmaßnahmen-Ausnahmenverordnung und der Coronavirus-Einreiseverordnung muss aus fachlicher Sicht folgenden Vorgaben entsprechen:</w:t>
      </w:r>
    </w:p>
    <w:p>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a) Die Testung zum Nachweis der vorherigen Infektion muss durch eine Labordiagnostik mittels </w:t>
      </w:r>
      <w:proofErr w:type="spellStart"/>
      <w:r>
        <w:rPr>
          <w:rFonts w:ascii="Times New Roman" w:eastAsia="Times New Roman" w:hAnsi="Times New Roman" w:cs="Times New Roman"/>
          <w:sz w:val="24"/>
          <w:szCs w:val="24"/>
          <w:lang w:eastAsia="de-DE"/>
        </w:rPr>
        <w:t>Nukleinsäurenachweis</w:t>
      </w:r>
      <w:proofErr w:type="spellEnd"/>
      <w:r>
        <w:rPr>
          <w:rFonts w:ascii="Times New Roman" w:eastAsia="Times New Roman" w:hAnsi="Times New Roman" w:cs="Times New Roman"/>
          <w:sz w:val="24"/>
          <w:szCs w:val="24"/>
          <w:lang w:eastAsia="de-DE"/>
        </w:rPr>
        <w:t xml:space="preserve"> (PCR, </w:t>
      </w:r>
      <w:proofErr w:type="spellStart"/>
      <w:r>
        <w:rPr>
          <w:rFonts w:ascii="Times New Roman" w:eastAsia="Times New Roman" w:hAnsi="Times New Roman" w:cs="Times New Roman"/>
          <w:sz w:val="24"/>
          <w:szCs w:val="24"/>
          <w:lang w:eastAsia="de-DE"/>
        </w:rPr>
        <w:t>PoC</w:t>
      </w:r>
      <w:proofErr w:type="spellEnd"/>
      <w:r>
        <w:rPr>
          <w:rFonts w:ascii="Times New Roman" w:eastAsia="Times New Roman" w:hAnsi="Times New Roman" w:cs="Times New Roman"/>
          <w:sz w:val="24"/>
          <w:szCs w:val="24"/>
          <w:lang w:eastAsia="de-DE"/>
        </w:rPr>
        <w:t xml:space="preserve">-PCR oder weitere Methoden der </w:t>
      </w:r>
      <w:proofErr w:type="spellStart"/>
      <w:r>
        <w:rPr>
          <w:rFonts w:ascii="Times New Roman" w:eastAsia="Times New Roman" w:hAnsi="Times New Roman" w:cs="Times New Roman"/>
          <w:sz w:val="24"/>
          <w:szCs w:val="24"/>
          <w:lang w:eastAsia="de-DE"/>
        </w:rPr>
        <w:t>Nukleinsäureamplifikationstechnik</w:t>
      </w:r>
      <w:proofErr w:type="spellEnd"/>
      <w:r>
        <w:rPr>
          <w:rFonts w:ascii="Times New Roman" w:eastAsia="Times New Roman" w:hAnsi="Times New Roman" w:cs="Times New Roman"/>
          <w:sz w:val="24"/>
          <w:szCs w:val="24"/>
          <w:lang w:eastAsia="de-DE"/>
        </w:rPr>
        <w:t xml:space="preserve">) </w:t>
      </w:r>
      <w:ins w:id="1" w:author="Rexroth, Ute" w:date="2022-01-25T12:48:00Z">
        <w:r>
          <w:rPr>
            <w:rFonts w:ascii="Times New Roman" w:eastAsia="Times New Roman" w:hAnsi="Times New Roman" w:cs="Times New Roman"/>
            <w:sz w:val="24"/>
            <w:szCs w:val="24"/>
            <w:lang w:eastAsia="de-DE"/>
          </w:rPr>
          <w:t xml:space="preserve">oder </w:t>
        </w:r>
      </w:ins>
      <w:commentRangeStart w:id="2"/>
      <w:ins w:id="3" w:author="Rexroth, Ute" w:date="2022-01-25T18:33:00Z">
        <w:r>
          <w:rPr>
            <w:rFonts w:ascii="Times New Roman" w:eastAsia="Times New Roman" w:hAnsi="Times New Roman" w:cs="Times New Roman"/>
            <w:sz w:val="24"/>
            <w:szCs w:val="24"/>
            <w:lang w:eastAsia="de-DE"/>
          </w:rPr>
          <w:t xml:space="preserve">seit 15.1.2022 </w:t>
        </w:r>
        <w:commentRangeEnd w:id="2"/>
        <w:r>
          <w:rPr>
            <w:rStyle w:val="Kommentarzeichen"/>
          </w:rPr>
          <w:commentReference w:id="2"/>
        </w:r>
      </w:ins>
      <w:ins w:id="5" w:author="Rexroth, Ute" w:date="2022-01-25T12:48:00Z">
        <w:r>
          <w:rPr>
            <w:rFonts w:ascii="Times New Roman" w:eastAsia="Times New Roman" w:hAnsi="Times New Roman" w:cs="Times New Roman"/>
            <w:sz w:val="24"/>
            <w:szCs w:val="24"/>
            <w:lang w:eastAsia="de-DE"/>
          </w:rPr>
          <w:t>eine</w:t>
        </w:r>
      </w:ins>
      <w:ins w:id="6" w:author="Rexroth, Ute" w:date="2022-01-25T18:07:00Z">
        <w:r>
          <w:rPr>
            <w:rFonts w:ascii="Times New Roman" w:eastAsia="Times New Roman" w:hAnsi="Times New Roman" w:cs="Times New Roman"/>
            <w:sz w:val="24"/>
            <w:szCs w:val="24"/>
            <w:lang w:eastAsia="de-DE"/>
          </w:rPr>
          <w:t>n</w:t>
        </w:r>
        <w:commentRangeStart w:id="7"/>
        <w:r>
          <w:rPr>
            <w:rFonts w:ascii="Times New Roman" w:eastAsia="Times New Roman" w:hAnsi="Times New Roman" w:cs="Times New Roman"/>
            <w:sz w:val="24"/>
            <w:szCs w:val="24"/>
            <w:lang w:eastAsia="de-DE"/>
          </w:rPr>
          <w:t xml:space="preserve"> </w:t>
        </w:r>
      </w:ins>
      <w:ins w:id="8" w:author="Rexroth, Ute" w:date="2022-01-25T18:32:00Z">
        <w:r>
          <w:rPr>
            <w:rFonts w:ascii="Times New Roman" w:eastAsia="Times New Roman" w:hAnsi="Times New Roman" w:cs="Times New Roman"/>
            <w:sz w:val="24"/>
            <w:szCs w:val="24"/>
            <w:lang w:eastAsia="de-DE"/>
          </w:rPr>
          <w:t xml:space="preserve">zertifizierten </w:t>
        </w:r>
      </w:ins>
      <w:ins w:id="9" w:author="Rexroth, Ute" w:date="2022-01-25T18:07:00Z">
        <w:r>
          <w:rPr>
            <w:rFonts w:ascii="Times New Roman" w:eastAsia="Times New Roman" w:hAnsi="Times New Roman" w:cs="Times New Roman"/>
            <w:sz w:val="24"/>
            <w:szCs w:val="24"/>
            <w:lang w:eastAsia="de-DE"/>
          </w:rPr>
          <w:t>Antigennachweis</w:t>
        </w:r>
      </w:ins>
      <w:ins w:id="10" w:author="Rexroth, Ute" w:date="2022-01-25T12:48:00Z">
        <w:r>
          <w:rPr>
            <w:rFonts w:ascii="Times New Roman" w:eastAsia="Times New Roman" w:hAnsi="Times New Roman" w:cs="Times New Roman"/>
            <w:sz w:val="24"/>
            <w:szCs w:val="24"/>
            <w:lang w:eastAsia="de-DE"/>
          </w:rPr>
          <w:t xml:space="preserve"> </w:t>
        </w:r>
      </w:ins>
      <w:commentRangeEnd w:id="7"/>
      <w:ins w:id="11" w:author="Rexroth, Ute" w:date="2022-01-25T18:09:00Z">
        <w:r>
          <w:rPr>
            <w:rStyle w:val="Kommentarzeichen"/>
          </w:rPr>
          <w:commentReference w:id="7"/>
        </w:r>
      </w:ins>
      <w:r>
        <w:rPr>
          <w:rFonts w:ascii="Times New Roman" w:eastAsia="Times New Roman" w:hAnsi="Times New Roman" w:cs="Times New Roman"/>
          <w:sz w:val="24"/>
          <w:szCs w:val="24"/>
          <w:lang w:eastAsia="de-DE"/>
        </w:rPr>
        <w:t>erfolgt sein</w:t>
      </w:r>
    </w:p>
    <w:p>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UND</w:t>
      </w:r>
    </w:p>
    <w:p>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b) das Datum der Abnahme des positiven Tests muss mindestens </w:t>
      </w:r>
      <w:commentRangeStart w:id="12"/>
      <w:r>
        <w:rPr>
          <w:rFonts w:ascii="Times New Roman" w:eastAsia="Times New Roman" w:hAnsi="Times New Roman" w:cs="Times New Roman"/>
          <w:sz w:val="24"/>
          <w:szCs w:val="24"/>
          <w:lang w:eastAsia="de-DE"/>
        </w:rPr>
        <w:t>28</w:t>
      </w:r>
      <w:commentRangeEnd w:id="12"/>
      <w:r>
        <w:rPr>
          <w:rStyle w:val="Kommentarzeichen"/>
        </w:rPr>
        <w:commentReference w:id="12"/>
      </w:r>
      <w:r>
        <w:rPr>
          <w:rFonts w:ascii="Times New Roman" w:eastAsia="Times New Roman" w:hAnsi="Times New Roman" w:cs="Times New Roman"/>
          <w:sz w:val="24"/>
          <w:szCs w:val="24"/>
          <w:lang w:eastAsia="de-DE"/>
        </w:rPr>
        <w:t xml:space="preserve"> Tage zurückliegen</w:t>
      </w:r>
    </w:p>
    <w:p>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UND</w:t>
      </w:r>
    </w:p>
    <w:p>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c) das Datum der Abnahme des positiven Tests darf höchstens 90 Tage zurückliegen.</w:t>
      </w:r>
    </w:p>
    <w:p>
      <w:pPr>
        <w:spacing w:before="100" w:beforeAutospacing="1" w:after="100" w:afterAutospacing="1" w:line="240" w:lineRule="auto"/>
        <w:rPr>
          <w:rFonts w:ascii="Times New Roman" w:eastAsia="Times New Roman" w:hAnsi="Times New Roman" w:cs="Times New Roman"/>
          <w:sz w:val="24"/>
          <w:szCs w:val="24"/>
          <w:lang w:val="en-US" w:eastAsia="de-DE"/>
        </w:rPr>
      </w:pPr>
      <w:ins w:id="13" w:author="Rexroth, Ute" w:date="2022-01-25T18:08:00Z">
        <w:r>
          <w:rPr>
            <w:rFonts w:ascii="Times New Roman" w:eastAsia="Times New Roman" w:hAnsi="Times New Roman" w:cs="Times New Roman"/>
            <w:sz w:val="24"/>
            <w:szCs w:val="24"/>
            <w:lang w:eastAsia="de-DE"/>
          </w:rPr>
          <w:t>Diese Definition bezieht sich auf Personen, die keine Impfung gege</w:t>
        </w:r>
      </w:ins>
      <w:ins w:id="14" w:author="Rexroth, Ute" w:date="2022-01-25T18:09:00Z">
        <w:r>
          <w:rPr>
            <w:rFonts w:ascii="Times New Roman" w:eastAsia="Times New Roman" w:hAnsi="Times New Roman" w:cs="Times New Roman"/>
            <w:sz w:val="24"/>
            <w:szCs w:val="24"/>
            <w:lang w:eastAsia="de-DE"/>
          </w:rPr>
          <w:t xml:space="preserve">n COVID-19 erhalten haben. </w:t>
        </w:r>
      </w:ins>
      <w:r>
        <w:rPr>
          <w:rFonts w:ascii="Times New Roman" w:eastAsia="Times New Roman" w:hAnsi="Times New Roman" w:cs="Times New Roman"/>
          <w:sz w:val="24"/>
          <w:szCs w:val="24"/>
          <w:lang w:eastAsia="de-DE"/>
        </w:rPr>
        <w:t xml:space="preserve">Die Dauer des </w:t>
      </w:r>
      <w:proofErr w:type="spellStart"/>
      <w:r>
        <w:rPr>
          <w:rFonts w:ascii="Times New Roman" w:eastAsia="Times New Roman" w:hAnsi="Times New Roman" w:cs="Times New Roman"/>
          <w:sz w:val="24"/>
          <w:szCs w:val="24"/>
          <w:lang w:eastAsia="de-DE"/>
        </w:rPr>
        <w:t>Genesenenstatus</w:t>
      </w:r>
      <w:proofErr w:type="spellEnd"/>
      <w:r>
        <w:rPr>
          <w:rFonts w:ascii="Times New Roman" w:eastAsia="Times New Roman" w:hAnsi="Times New Roman" w:cs="Times New Roman"/>
          <w:sz w:val="24"/>
          <w:szCs w:val="24"/>
          <w:lang w:eastAsia="de-DE"/>
        </w:rPr>
        <w:t xml:space="preserve"> wurde von 6 Monaten auf 90 Tage reduziert, da die bisherige wissenschaftliche Evidenz darauf hindeutet, dass Ungeimpfte nach einer durchgemachten Infektion einen im Vergleich zur Deltavariante herabgesetzten und zeitlich noch stärker begrenzten Schutz vor einer erneuten Infektion mit der </w:t>
      </w:r>
      <w:proofErr w:type="spellStart"/>
      <w:r>
        <w:rPr>
          <w:rFonts w:ascii="Times New Roman" w:eastAsia="Times New Roman" w:hAnsi="Times New Roman" w:cs="Times New Roman"/>
          <w:sz w:val="24"/>
          <w:szCs w:val="24"/>
          <w:lang w:eastAsia="de-DE"/>
        </w:rPr>
        <w:t>Omikronvariante</w:t>
      </w:r>
      <w:proofErr w:type="spellEnd"/>
      <w:r>
        <w:rPr>
          <w:rFonts w:ascii="Times New Roman" w:eastAsia="Times New Roman" w:hAnsi="Times New Roman" w:cs="Times New Roman"/>
          <w:sz w:val="24"/>
          <w:szCs w:val="24"/>
          <w:lang w:eastAsia="de-DE"/>
        </w:rPr>
        <w:t xml:space="preserve"> haben. </w:t>
      </w:r>
      <w:r>
        <w:rPr>
          <w:rFonts w:ascii="Times New Roman" w:eastAsia="Times New Roman" w:hAnsi="Times New Roman" w:cs="Times New Roman"/>
          <w:sz w:val="24"/>
          <w:szCs w:val="24"/>
          <w:lang w:val="en-US" w:eastAsia="de-DE"/>
        </w:rPr>
        <w:t>(1) (2) (3)</w:t>
      </w:r>
    </w:p>
    <w:p>
      <w:pPr>
        <w:spacing w:before="100" w:beforeAutospacing="1" w:after="100" w:afterAutospacing="1" w:line="240" w:lineRule="auto"/>
        <w:rPr>
          <w:rFonts w:ascii="Times New Roman" w:eastAsia="Times New Roman" w:hAnsi="Times New Roman" w:cs="Times New Roman"/>
          <w:sz w:val="24"/>
          <w:szCs w:val="24"/>
          <w:lang w:val="en-US" w:eastAsia="de-DE"/>
        </w:rPr>
      </w:pPr>
      <w:r>
        <w:rPr>
          <w:rFonts w:ascii="Times New Roman" w:eastAsia="Times New Roman" w:hAnsi="Times New Roman" w:cs="Times New Roman"/>
          <w:sz w:val="24"/>
          <w:szCs w:val="24"/>
          <w:lang w:val="en-US" w:eastAsia="de-DE"/>
        </w:rPr>
        <w:t xml:space="preserve">(1) Neil Ferguson, </w:t>
      </w:r>
      <w:proofErr w:type="spellStart"/>
      <w:r>
        <w:rPr>
          <w:rFonts w:ascii="Times New Roman" w:eastAsia="Times New Roman" w:hAnsi="Times New Roman" w:cs="Times New Roman"/>
          <w:sz w:val="24"/>
          <w:szCs w:val="24"/>
          <w:lang w:val="en-US" w:eastAsia="de-DE"/>
        </w:rPr>
        <w:t>Azra</w:t>
      </w:r>
      <w:proofErr w:type="spellEnd"/>
      <w:r>
        <w:rPr>
          <w:rFonts w:ascii="Times New Roman" w:eastAsia="Times New Roman" w:hAnsi="Times New Roman" w:cs="Times New Roman"/>
          <w:sz w:val="24"/>
          <w:szCs w:val="24"/>
          <w:lang w:val="en-US" w:eastAsia="de-DE"/>
        </w:rPr>
        <w:t xml:space="preserve"> Ghani, Wes </w:t>
      </w:r>
      <w:proofErr w:type="spellStart"/>
      <w:r>
        <w:rPr>
          <w:rFonts w:ascii="Times New Roman" w:eastAsia="Times New Roman" w:hAnsi="Times New Roman" w:cs="Times New Roman"/>
          <w:sz w:val="24"/>
          <w:szCs w:val="24"/>
          <w:lang w:val="en-US" w:eastAsia="de-DE"/>
        </w:rPr>
        <w:t>Hinsley</w:t>
      </w:r>
      <w:proofErr w:type="spellEnd"/>
      <w:r>
        <w:rPr>
          <w:rFonts w:ascii="Times New Roman" w:eastAsia="Times New Roman" w:hAnsi="Times New Roman" w:cs="Times New Roman"/>
          <w:sz w:val="24"/>
          <w:szCs w:val="24"/>
          <w:lang w:val="en-US" w:eastAsia="de-DE"/>
        </w:rPr>
        <w:t xml:space="preserve"> and Erik Volz. </w:t>
      </w:r>
      <w:proofErr w:type="spellStart"/>
      <w:r>
        <w:rPr>
          <w:rFonts w:ascii="Times New Roman" w:eastAsia="Times New Roman" w:hAnsi="Times New Roman" w:cs="Times New Roman"/>
          <w:sz w:val="24"/>
          <w:szCs w:val="24"/>
          <w:lang w:val="en-US" w:eastAsia="de-DE"/>
        </w:rPr>
        <w:t>Hospitalisation</w:t>
      </w:r>
      <w:proofErr w:type="spellEnd"/>
      <w:r>
        <w:rPr>
          <w:rFonts w:ascii="Times New Roman" w:eastAsia="Times New Roman" w:hAnsi="Times New Roman" w:cs="Times New Roman"/>
          <w:sz w:val="24"/>
          <w:szCs w:val="24"/>
          <w:lang w:val="en-US" w:eastAsia="de-DE"/>
        </w:rPr>
        <w:t xml:space="preserve"> risk for Omicron cases in England. Imperial College London (22-12-2021)</w:t>
      </w:r>
    </w:p>
    <w:p>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val="en-US" w:eastAsia="de-DE"/>
        </w:rPr>
        <w:lastRenderedPageBreak/>
        <w:t xml:space="preserve">(2) UK Health Security Agency: </w:t>
      </w:r>
      <w:hyperlink r:id="rId7" w:tgtFrame="_blank" w:tooltip="Externer Link UK Health Security Agency: SARS-CoV-2 variants of concern and variants under investigation in England. Technical briefing 34 (Öffnet neues Fenster)" w:history="1">
        <w:r>
          <w:rPr>
            <w:rFonts w:ascii="Times New Roman" w:eastAsia="Times New Roman" w:hAnsi="Times New Roman" w:cs="Times New Roman"/>
            <w:color w:val="0000FF"/>
            <w:sz w:val="24"/>
            <w:szCs w:val="24"/>
            <w:u w:val="single"/>
            <w:lang w:val="en-US" w:eastAsia="de-DE"/>
          </w:rPr>
          <w:t xml:space="preserve">SARS-CoV-2 variants of concern and variants under investigation in England. </w:t>
        </w:r>
        <w:r>
          <w:rPr>
            <w:rFonts w:ascii="Times New Roman" w:eastAsia="Times New Roman" w:hAnsi="Times New Roman" w:cs="Times New Roman"/>
            <w:color w:val="0000FF"/>
            <w:sz w:val="24"/>
            <w:szCs w:val="24"/>
            <w:u w:val="single"/>
            <w:lang w:eastAsia="de-DE"/>
          </w:rPr>
          <w:t xml:space="preserve">Technical </w:t>
        </w:r>
        <w:proofErr w:type="spellStart"/>
        <w:r>
          <w:rPr>
            <w:rFonts w:ascii="Times New Roman" w:eastAsia="Times New Roman" w:hAnsi="Times New Roman" w:cs="Times New Roman"/>
            <w:color w:val="0000FF"/>
            <w:sz w:val="24"/>
            <w:szCs w:val="24"/>
            <w:u w:val="single"/>
            <w:lang w:eastAsia="de-DE"/>
          </w:rPr>
          <w:t>briefing</w:t>
        </w:r>
        <w:proofErr w:type="spellEnd"/>
        <w:r>
          <w:rPr>
            <w:rFonts w:ascii="Times New Roman" w:eastAsia="Times New Roman" w:hAnsi="Times New Roman" w:cs="Times New Roman"/>
            <w:color w:val="0000FF"/>
            <w:sz w:val="24"/>
            <w:szCs w:val="24"/>
            <w:u w:val="single"/>
            <w:lang w:eastAsia="de-DE"/>
          </w:rPr>
          <w:t xml:space="preserve"> 34</w:t>
        </w:r>
      </w:hyperlink>
    </w:p>
    <w:p>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(3) </w:t>
      </w:r>
      <w:hyperlink r:id="rId8" w:tooltip="Beschluss der STIKO zur 16. Aktualisierung der COVID-19-Impfempfehlung" w:history="1">
        <w:r>
          <w:rPr>
            <w:rFonts w:ascii="Times New Roman" w:eastAsia="Times New Roman" w:hAnsi="Times New Roman" w:cs="Times New Roman"/>
            <w:color w:val="0000FF"/>
            <w:sz w:val="24"/>
            <w:szCs w:val="24"/>
            <w:u w:val="single"/>
            <w:lang w:eastAsia="de-DE"/>
          </w:rPr>
          <w:t>Wissenschaftliche Begründung der STIKO für die Empfehlung zur Verkürzung des Impfabstands zwischen Grundimmunisierung bzw. Infektion und Auffrischimpfung auf einen Zeitraum ab 3 Monaten</w:t>
        </w:r>
      </w:hyperlink>
    </w:p>
    <w:p>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br/>
        <w:t>Diese Vorgaben werden regelmäßig überprüft und können sich gemäß Stand der Wissenschaft ändern.</w:t>
      </w:r>
    </w:p>
    <w:p>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Pr>
          <w:rFonts w:ascii="Times New Roman" w:eastAsia="Times New Roman" w:hAnsi="Times New Roman" w:cs="Times New Roman"/>
          <w:b/>
          <w:bCs/>
          <w:sz w:val="36"/>
          <w:szCs w:val="36"/>
          <w:lang w:eastAsia="de-DE"/>
        </w:rPr>
        <w:t>Weitere Informationen</w:t>
      </w:r>
    </w:p>
    <w:p>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9" w:tgtFrame="_self" w:tooltip="Lesen Sie den Artikel &quot;Quarantäne- und Isolierungsdauern bei SARS-CoV-2-Expositionen und -Infektionen; entsprechend Beschluss der Ministerpräsidentenkonferenz vom 7. Januar 2022&quot;" w:history="1">
        <w:r>
          <w:rPr>
            <w:rFonts w:ascii="Times New Roman" w:eastAsia="Times New Roman" w:hAnsi="Times New Roman" w:cs="Times New Roman"/>
            <w:color w:val="0000FF"/>
            <w:sz w:val="24"/>
            <w:szCs w:val="24"/>
            <w:u w:val="single"/>
            <w:lang w:eastAsia="de-DE"/>
          </w:rPr>
          <w:t xml:space="preserve">Quarantäne- und Isolierungsdauern bei SARS-CoV-2-Expositionen und -Infektionen; entsprechend Beschluss der Ministerpräsidentenkonferenz vom 7. Januar 2022 </w:t>
        </w:r>
      </w:hyperlink>
    </w:p>
    <w:p>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10" w:tgtFrame="_blank" w:tooltip="Externer Link Beschluss der Videoschaltkonferenz des Bundeskanzlers mit den Regierungschefinnen und Regierungschefs der Länder am 7. Januar 2022 (Öffnet neues Fenster)" w:history="1">
        <w:r>
          <w:rPr>
            <w:rFonts w:ascii="Times New Roman" w:eastAsia="Times New Roman" w:hAnsi="Times New Roman" w:cs="Times New Roman"/>
            <w:color w:val="0000FF"/>
            <w:sz w:val="24"/>
            <w:szCs w:val="24"/>
            <w:u w:val="single"/>
            <w:lang w:eastAsia="de-DE"/>
          </w:rPr>
          <w:t>Beschluss der Videoschaltkonferenz des Bundeskanzlers mit den Regierungschefinnen und Regierungschefs der Länder am 7. Januar 2022 </w:t>
        </w:r>
      </w:hyperlink>
    </w:p>
    <w:p>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Stand: 17.01.2022</w:t>
      </w:r>
    </w:p>
    <w:p/>
    <w:sectPr>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exroth, Ute" w:date="2022-01-25T12:48:00Z" w:initials="RU">
    <w:p>
      <w:pPr>
        <w:pStyle w:val="Kommentartext"/>
      </w:pPr>
      <w:r>
        <w:rPr>
          <w:rStyle w:val="Kommentarzeichen"/>
        </w:rPr>
        <w:annotationRef/>
      </w:r>
      <w:r>
        <w:t>Überprüfung</w:t>
      </w:r>
    </w:p>
  </w:comment>
  <w:comment w:id="2" w:author="Rexroth, Ute" w:date="2022-01-25T18:33:00Z" w:initials="RU">
    <w:p>
      <w:pPr>
        <w:pStyle w:val="Kommentartext"/>
      </w:pPr>
      <w:r>
        <w:rPr>
          <w:rStyle w:val="Kommentarzeichen"/>
        </w:rPr>
        <w:annotationRef/>
      </w:r>
      <w:r>
        <w:t xml:space="preserve">Nur Prospektiv oder auch retrospektiv? </w:t>
      </w:r>
      <w:bookmarkStart w:id="4" w:name="_GoBack"/>
      <w:bookmarkEnd w:id="4"/>
      <w:r>
        <w:t>Eingrenzen auf Hochinzidenzphase? Wann beginnt die?</w:t>
      </w:r>
    </w:p>
  </w:comment>
  <w:comment w:id="7" w:author="Rexroth, Ute" w:date="2022-01-25T18:09:00Z" w:initials="RU">
    <w:p>
      <w:pPr>
        <w:pStyle w:val="Kommentartext"/>
      </w:pPr>
      <w:r>
        <w:rPr>
          <w:rStyle w:val="Kommentarzeichen"/>
        </w:rPr>
        <w:annotationRef/>
      </w:r>
      <w:r>
        <w:t>Ein oder zwei?</w:t>
      </w:r>
    </w:p>
    <w:p>
      <w:pPr>
        <w:pStyle w:val="Kommentartext"/>
      </w:pPr>
      <w:r>
        <w:t xml:space="preserve">Zertifiziert oder Laborgestützt? </w:t>
      </w:r>
    </w:p>
  </w:comment>
  <w:comment w:id="12" w:author="Rexroth, Ute" w:date="2022-01-25T18:08:00Z" w:initials="RU">
    <w:p>
      <w:pPr>
        <w:pStyle w:val="Kommentartext"/>
      </w:pPr>
      <w:r>
        <w:rPr>
          <w:rStyle w:val="Kommentarzeichen"/>
        </w:rPr>
        <w:annotationRef/>
      </w:r>
      <w:r>
        <w:t>29?</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42E26"/>
    <w:multiLevelType w:val="multilevel"/>
    <w:tmpl w:val="5BCA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xroth, Ute">
    <w15:presenceInfo w15:providerId="None" w15:userId="Rexroth, U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A7204-9E4A-42EB-906B-04A834A0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291573">
      <w:bodyDiv w:val="1"/>
      <w:marLeft w:val="0"/>
      <w:marRight w:val="0"/>
      <w:marTop w:val="0"/>
      <w:marBottom w:val="0"/>
      <w:divBdr>
        <w:top w:val="none" w:sz="0" w:space="0" w:color="auto"/>
        <w:left w:val="none" w:sz="0" w:space="0" w:color="auto"/>
        <w:bottom w:val="none" w:sz="0" w:space="0" w:color="auto"/>
        <w:right w:val="none" w:sz="0" w:space="0" w:color="auto"/>
      </w:divBdr>
      <w:divsChild>
        <w:div w:id="21982807">
          <w:marLeft w:val="0"/>
          <w:marRight w:val="0"/>
          <w:marTop w:val="0"/>
          <w:marBottom w:val="0"/>
          <w:divBdr>
            <w:top w:val="none" w:sz="0" w:space="0" w:color="auto"/>
            <w:left w:val="none" w:sz="0" w:space="0" w:color="auto"/>
            <w:bottom w:val="none" w:sz="0" w:space="0" w:color="auto"/>
            <w:right w:val="none" w:sz="0" w:space="0" w:color="auto"/>
          </w:divBdr>
        </w:div>
        <w:div w:id="533229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ki.de/DE/Content/Infekt/EpidBull/Archiv/2022/02/Art_01.html;jsessionid=7B445B5BC2F2AB6EF83B079DDD887E53.internet101?nn=1349088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investigation-of-sars-cov-2-variants-technical-briefings"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hyperlink" Target="https://www.bundesgesundheitsministerium.de/service/gesetze-und-verordnungen/vo-aend-covid-19-schutzmassnahmen-ausnahmenv-und-coronavirus-einreisev.html" TargetMode="External"/><Relationship Id="rId10" Type="http://schemas.openxmlformats.org/officeDocument/2006/relationships/hyperlink" Target="https://www.bundesregierung.de/breg-de/suche/videoschaltkonferenz-des-bundeskanzlers-mit-den-regierungschefinnen-und-regierungschefs-der-laender-am-7-januar-2022-1995228" TargetMode="External"/><Relationship Id="rId4" Type="http://schemas.openxmlformats.org/officeDocument/2006/relationships/webSettings" Target="webSettings.xml"/><Relationship Id="rId9" Type="http://schemas.openxmlformats.org/officeDocument/2006/relationships/hyperlink" Target="https://www.rki.de/DE/Content/InfAZ/N/Neuartiges_Coronavirus/Quarantaene/Absonderung.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3734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Rexroth, Ute</dc:creator>
  <cp:keywords/>
  <dc:description/>
  <cp:lastModifiedBy>Rexroth, Ute</cp:lastModifiedBy>
  <cp:revision>2</cp:revision>
  <dcterms:created xsi:type="dcterms:W3CDTF">2022-01-25T11:47:00Z</dcterms:created>
  <dcterms:modified xsi:type="dcterms:W3CDTF">2022-01-25T17:41:00Z</dcterms:modified>
</cp:coreProperties>
</file>