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Protokoll Umsetzung GMK/MPK-Beschlüsse</w:t>
      </w:r>
    </w:p>
    <w:p>
      <w:pP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8511FCF3A453441791353EB6235E4CA6"/>
          </w:placeholder>
        </w:sdtPr>
        <w:sdtContent>
          <w:r>
            <w:rPr>
              <w:i/>
              <w:sz w:val="22"/>
            </w:rPr>
            <w:t>Mittwoch, 26.01.2022, 10:00 Uhr</w:t>
          </w:r>
        </w:sdtContent>
      </w:sdt>
    </w:p>
    <w:p>
      <w:pP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94321D63DDA94110A797A040366269A4"/>
          </w:placeholder>
        </w:sdtPr>
        <w:sdtContent>
          <w:r>
            <w:rPr>
              <w:sz w:val="22"/>
            </w:rPr>
            <w:t>Webex-Konferenz</w:t>
          </w:r>
        </w:sdtContent>
      </w:sdt>
    </w:p>
    <w:p>
      <w:pPr>
        <w:rPr>
          <w:b/>
          <w:sz w:val="22"/>
          <w:highlight w:val="yellow"/>
        </w:rPr>
      </w:pPr>
      <w:r>
        <w:rPr>
          <w:b/>
          <w:sz w:val="22"/>
        </w:rPr>
        <w:t xml:space="preserve">Moderation: Lars Schaade </w:t>
      </w:r>
    </w:p>
    <w:p>
      <w:pPr>
        <w:spacing w:after="0"/>
        <w:rPr>
          <w:b/>
          <w:sz w:val="22"/>
          <w:highlight w:val="yellow"/>
        </w:rPr>
        <w:sectPr>
          <w:headerReference w:type="default" r:id="rId7"/>
          <w:footerReference w:type="even" r:id="rId8"/>
          <w:footerReference w:type="default" r:id="rId9"/>
          <w:pgSz w:w="11900" w:h="16840"/>
          <w:pgMar w:top="1440" w:right="1800" w:bottom="1440" w:left="1800" w:header="708" w:footer="708" w:gutter="0"/>
          <w:cols w:space="708"/>
        </w:sectPr>
      </w:pPr>
    </w:p>
    <w:p>
      <w:pPr>
        <w:spacing w:after="0"/>
        <w:rPr>
          <w:b/>
          <w:sz w:val="22"/>
        </w:rPr>
      </w:pPr>
      <w:r>
        <w:rPr>
          <w:b/>
          <w:sz w:val="22"/>
        </w:rPr>
        <w:t xml:space="preserve">Teilnehmende: </w:t>
      </w:r>
    </w:p>
    <w:p>
      <w:pPr>
        <w:pStyle w:val="Listenabsatz"/>
        <w:numPr>
          <w:ilvl w:val="0"/>
          <w:numId w:val="2"/>
        </w:numPr>
        <w:spacing w:after="0"/>
        <w:contextualSpacing w:val="0"/>
        <w:rPr>
          <w:sz w:val="22"/>
          <w:szCs w:val="22"/>
        </w:rPr>
      </w:pPr>
      <w:r>
        <w:rPr>
          <w:sz w:val="22"/>
          <w:szCs w:val="22"/>
        </w:rPr>
        <w:t>Institutsleitung</w:t>
      </w:r>
    </w:p>
    <w:p>
      <w:pPr>
        <w:pStyle w:val="Listenabsatz"/>
        <w:numPr>
          <w:ilvl w:val="1"/>
          <w:numId w:val="1"/>
        </w:numPr>
        <w:spacing w:after="0"/>
        <w:contextualSpacing w:val="0"/>
        <w:rPr>
          <w:sz w:val="22"/>
          <w:szCs w:val="22"/>
        </w:rPr>
      </w:pPr>
      <w:r>
        <w:rPr>
          <w:sz w:val="22"/>
          <w:szCs w:val="22"/>
        </w:rPr>
        <w:t>Lars Schaade</w:t>
      </w:r>
    </w:p>
    <w:p>
      <w:pPr>
        <w:pStyle w:val="Listenabsatz"/>
        <w:numPr>
          <w:ilvl w:val="0"/>
          <w:numId w:val="1"/>
        </w:numPr>
        <w:spacing w:after="0" w:line="233" w:lineRule="auto"/>
        <w:ind w:hanging="357"/>
        <w:contextualSpacing w:val="0"/>
        <w:rPr>
          <w:sz w:val="22"/>
          <w:szCs w:val="22"/>
        </w:rPr>
      </w:pPr>
      <w:r>
        <w:rPr>
          <w:sz w:val="22"/>
          <w:szCs w:val="22"/>
        </w:rPr>
        <w:t>Abt. 1</w:t>
      </w:r>
    </w:p>
    <w:p>
      <w:pPr>
        <w:pStyle w:val="Listenabsatz"/>
        <w:numPr>
          <w:ilvl w:val="1"/>
          <w:numId w:val="1"/>
        </w:numPr>
        <w:spacing w:after="0" w:line="233" w:lineRule="auto"/>
        <w:contextualSpacing w:val="0"/>
        <w:rPr>
          <w:sz w:val="22"/>
          <w:szCs w:val="22"/>
        </w:rPr>
      </w:pPr>
      <w:r>
        <w:rPr>
          <w:sz w:val="22"/>
          <w:szCs w:val="22"/>
        </w:rPr>
        <w:t>Martin Mielke</w:t>
      </w:r>
    </w:p>
    <w:p>
      <w:pPr>
        <w:pStyle w:val="Listenabsatz"/>
        <w:numPr>
          <w:ilvl w:val="0"/>
          <w:numId w:val="1"/>
        </w:numPr>
        <w:spacing w:after="0" w:line="233" w:lineRule="auto"/>
        <w:ind w:hanging="357"/>
        <w:contextualSpacing w:val="0"/>
        <w:rPr>
          <w:sz w:val="22"/>
          <w:szCs w:val="22"/>
        </w:rPr>
      </w:pPr>
      <w:r>
        <w:rPr>
          <w:sz w:val="22"/>
          <w:szCs w:val="22"/>
        </w:rPr>
        <w:t>Abt. 3</w:t>
      </w:r>
    </w:p>
    <w:p>
      <w:pPr>
        <w:pStyle w:val="Listenabsatz"/>
        <w:numPr>
          <w:ilvl w:val="1"/>
          <w:numId w:val="1"/>
        </w:numPr>
        <w:spacing w:after="0" w:line="233" w:lineRule="auto"/>
        <w:contextualSpacing w:val="0"/>
        <w:rPr>
          <w:sz w:val="22"/>
          <w:szCs w:val="22"/>
        </w:rPr>
      </w:pPr>
      <w:r>
        <w:rPr>
          <w:sz w:val="22"/>
          <w:szCs w:val="22"/>
        </w:rPr>
        <w:t>Osamah Hamouda</w:t>
      </w:r>
    </w:p>
    <w:p>
      <w:pPr>
        <w:pStyle w:val="Listenabsatz"/>
        <w:numPr>
          <w:ilvl w:val="1"/>
          <w:numId w:val="1"/>
        </w:numPr>
        <w:spacing w:after="0"/>
        <w:contextualSpacing w:val="0"/>
        <w:rPr>
          <w:sz w:val="22"/>
          <w:szCs w:val="22"/>
        </w:rPr>
      </w:pPr>
      <w:r>
        <w:rPr>
          <w:sz w:val="22"/>
          <w:szCs w:val="22"/>
        </w:rPr>
        <w:t>Tanja Jung-Sendzik</w:t>
      </w:r>
    </w:p>
    <w:p>
      <w:pPr>
        <w:pStyle w:val="Listenabsatz"/>
        <w:numPr>
          <w:ilvl w:val="0"/>
          <w:numId w:val="3"/>
        </w:numPr>
        <w:spacing w:after="0"/>
        <w:contextualSpacing w:val="0"/>
        <w:rPr>
          <w:sz w:val="22"/>
          <w:szCs w:val="22"/>
        </w:rPr>
      </w:pPr>
      <w:r>
        <w:rPr>
          <w:sz w:val="22"/>
          <w:szCs w:val="22"/>
        </w:rPr>
        <w:t>FG32</w:t>
      </w:r>
    </w:p>
    <w:p>
      <w:pPr>
        <w:pStyle w:val="Listenabsatz"/>
        <w:numPr>
          <w:ilvl w:val="1"/>
          <w:numId w:val="1"/>
        </w:numPr>
        <w:spacing w:after="0"/>
        <w:contextualSpacing w:val="0"/>
        <w:rPr>
          <w:sz w:val="22"/>
          <w:szCs w:val="22"/>
        </w:rPr>
      </w:pPr>
      <w:r>
        <w:rPr>
          <w:sz w:val="22"/>
          <w:szCs w:val="22"/>
        </w:rPr>
        <w:t>Michaela Diercke</w:t>
      </w:r>
    </w:p>
    <w:p>
      <w:pPr>
        <w:pStyle w:val="Listenabsatz"/>
        <w:numPr>
          <w:ilvl w:val="1"/>
          <w:numId w:val="1"/>
        </w:numPr>
        <w:spacing w:after="0"/>
        <w:contextualSpacing w:val="0"/>
        <w:rPr>
          <w:sz w:val="22"/>
          <w:szCs w:val="22"/>
        </w:rPr>
      </w:pPr>
      <w:r>
        <w:rPr>
          <w:sz w:val="22"/>
          <w:szCs w:val="22"/>
        </w:rPr>
        <w:t>Justus Benzler</w:t>
      </w:r>
    </w:p>
    <w:p>
      <w:pPr>
        <w:pStyle w:val="Listenabsatz"/>
        <w:numPr>
          <w:ilvl w:val="0"/>
          <w:numId w:val="1"/>
        </w:numPr>
        <w:spacing w:after="0"/>
        <w:contextualSpacing w:val="0"/>
        <w:rPr>
          <w:sz w:val="22"/>
          <w:szCs w:val="22"/>
        </w:rPr>
      </w:pPr>
      <w:r>
        <w:rPr>
          <w:sz w:val="22"/>
          <w:szCs w:val="22"/>
        </w:rPr>
        <w:t>FG33</w:t>
      </w:r>
    </w:p>
    <w:p>
      <w:pPr>
        <w:pStyle w:val="Listenabsatz"/>
        <w:numPr>
          <w:ilvl w:val="1"/>
          <w:numId w:val="1"/>
        </w:numPr>
        <w:spacing w:after="0"/>
        <w:contextualSpacing w:val="0"/>
        <w:rPr>
          <w:sz w:val="22"/>
          <w:szCs w:val="22"/>
        </w:rPr>
      </w:pPr>
      <w:r>
        <w:rPr>
          <w:sz w:val="22"/>
          <w:szCs w:val="22"/>
        </w:rPr>
        <w:t xml:space="preserve">Thomas Harder </w:t>
      </w:r>
      <w:r>
        <w:rPr>
          <w:sz w:val="22"/>
          <w:szCs w:val="22"/>
        </w:rPr>
        <w:br/>
      </w:r>
    </w:p>
    <w:p>
      <w:pPr>
        <w:pStyle w:val="Listenabsatz"/>
        <w:numPr>
          <w:ilvl w:val="0"/>
          <w:numId w:val="1"/>
        </w:numPr>
        <w:spacing w:after="0"/>
        <w:contextualSpacing w:val="0"/>
        <w:rPr>
          <w:sz w:val="22"/>
          <w:szCs w:val="22"/>
        </w:rPr>
      </w:pPr>
      <w:r>
        <w:rPr>
          <w:sz w:val="22"/>
          <w:szCs w:val="22"/>
        </w:rPr>
        <w:t>FG35</w:t>
      </w:r>
    </w:p>
    <w:p>
      <w:pPr>
        <w:pStyle w:val="Listenabsatz"/>
        <w:numPr>
          <w:ilvl w:val="1"/>
          <w:numId w:val="1"/>
        </w:numPr>
        <w:spacing w:after="0"/>
        <w:contextualSpacing w:val="0"/>
        <w:rPr>
          <w:sz w:val="22"/>
          <w:szCs w:val="22"/>
        </w:rPr>
      </w:pPr>
      <w:r>
        <w:rPr>
          <w:sz w:val="22"/>
          <w:szCs w:val="22"/>
        </w:rPr>
        <w:t>Christina Frank</w:t>
      </w:r>
    </w:p>
    <w:p>
      <w:pPr>
        <w:pStyle w:val="Listenabsatz"/>
        <w:numPr>
          <w:ilvl w:val="0"/>
          <w:numId w:val="1"/>
        </w:numPr>
        <w:spacing w:after="0"/>
        <w:contextualSpacing w:val="0"/>
        <w:rPr>
          <w:sz w:val="22"/>
          <w:szCs w:val="22"/>
        </w:rPr>
      </w:pPr>
      <w:r>
        <w:rPr>
          <w:sz w:val="22"/>
          <w:szCs w:val="22"/>
        </w:rPr>
        <w:t>FG36</w:t>
      </w:r>
    </w:p>
    <w:p>
      <w:pPr>
        <w:pStyle w:val="Listenabsatz"/>
        <w:numPr>
          <w:ilvl w:val="1"/>
          <w:numId w:val="1"/>
        </w:numPr>
        <w:spacing w:after="0"/>
        <w:contextualSpacing w:val="0"/>
        <w:rPr>
          <w:sz w:val="22"/>
          <w:szCs w:val="22"/>
        </w:rPr>
      </w:pPr>
      <w:r>
        <w:rPr>
          <w:sz w:val="22"/>
          <w:szCs w:val="22"/>
        </w:rPr>
        <w:t>Walter Haas</w:t>
      </w:r>
    </w:p>
    <w:p>
      <w:pPr>
        <w:pStyle w:val="Listenabsatz"/>
        <w:numPr>
          <w:ilvl w:val="1"/>
          <w:numId w:val="1"/>
        </w:numPr>
        <w:spacing w:after="0"/>
        <w:contextualSpacing w:val="0"/>
        <w:rPr>
          <w:sz w:val="22"/>
          <w:szCs w:val="22"/>
        </w:rPr>
      </w:pPr>
      <w:r>
        <w:rPr>
          <w:sz w:val="22"/>
          <w:szCs w:val="22"/>
        </w:rPr>
        <w:t>Silke Buda</w:t>
      </w:r>
    </w:p>
    <w:p>
      <w:pPr>
        <w:pStyle w:val="Listenabsatz"/>
        <w:numPr>
          <w:ilvl w:val="0"/>
          <w:numId w:val="1"/>
        </w:numPr>
        <w:spacing w:after="0"/>
        <w:contextualSpacing w:val="0"/>
        <w:rPr>
          <w:sz w:val="22"/>
          <w:szCs w:val="22"/>
        </w:rPr>
      </w:pPr>
      <w:r>
        <w:rPr>
          <w:sz w:val="22"/>
          <w:szCs w:val="22"/>
        </w:rPr>
        <w:t>FG37</w:t>
      </w:r>
    </w:p>
    <w:p>
      <w:pPr>
        <w:pStyle w:val="Listenabsatz"/>
        <w:numPr>
          <w:ilvl w:val="1"/>
          <w:numId w:val="1"/>
        </w:numPr>
        <w:spacing w:after="0"/>
        <w:contextualSpacing w:val="0"/>
        <w:rPr>
          <w:sz w:val="22"/>
          <w:szCs w:val="22"/>
        </w:rPr>
      </w:pPr>
      <w:r>
        <w:rPr>
          <w:sz w:val="22"/>
          <w:szCs w:val="22"/>
        </w:rPr>
        <w:t>Muna Abu Sin</w:t>
      </w:r>
    </w:p>
    <w:p>
      <w:pPr>
        <w:pStyle w:val="Listenabsatz"/>
        <w:numPr>
          <w:ilvl w:val="1"/>
          <w:numId w:val="1"/>
        </w:numPr>
        <w:spacing w:after="0"/>
        <w:contextualSpacing w:val="0"/>
        <w:rPr>
          <w:sz w:val="22"/>
          <w:szCs w:val="22"/>
        </w:rPr>
      </w:pPr>
      <w:r>
        <w:rPr>
          <w:sz w:val="22"/>
          <w:szCs w:val="22"/>
        </w:rPr>
        <w:t>Julia Hermes</w:t>
      </w:r>
    </w:p>
    <w:p>
      <w:pPr>
        <w:pStyle w:val="Listenabsatz"/>
        <w:numPr>
          <w:ilvl w:val="0"/>
          <w:numId w:val="3"/>
        </w:numPr>
        <w:spacing w:after="0"/>
        <w:contextualSpacing w:val="0"/>
        <w:rPr>
          <w:sz w:val="22"/>
          <w:szCs w:val="22"/>
        </w:rPr>
      </w:pPr>
      <w:r>
        <w:rPr>
          <w:sz w:val="22"/>
          <w:szCs w:val="22"/>
        </w:rPr>
        <w:t>FG38</w:t>
      </w:r>
    </w:p>
    <w:p>
      <w:pPr>
        <w:pStyle w:val="Listenabsatz"/>
        <w:numPr>
          <w:ilvl w:val="1"/>
          <w:numId w:val="1"/>
        </w:numPr>
        <w:spacing w:after="0"/>
        <w:contextualSpacing w:val="0"/>
        <w:rPr>
          <w:sz w:val="22"/>
          <w:szCs w:val="22"/>
        </w:rPr>
      </w:pPr>
      <w:r>
        <w:rPr>
          <w:sz w:val="22"/>
          <w:szCs w:val="22"/>
        </w:rPr>
        <w:t>Ute Rexroth</w:t>
      </w:r>
    </w:p>
    <w:p>
      <w:pPr>
        <w:pStyle w:val="Listenabsatz"/>
        <w:numPr>
          <w:ilvl w:val="1"/>
          <w:numId w:val="1"/>
        </w:numPr>
        <w:spacing w:after="0"/>
        <w:contextualSpacing w:val="0"/>
        <w:rPr>
          <w:sz w:val="22"/>
          <w:szCs w:val="22"/>
        </w:rPr>
      </w:pPr>
      <w:r>
        <w:rPr>
          <w:sz w:val="22"/>
          <w:szCs w:val="22"/>
        </w:rPr>
        <w:t>Ariane Halm (Protokoll)</w:t>
      </w:r>
    </w:p>
    <w:p>
      <w:pPr>
        <w:pStyle w:val="Listenabsatz"/>
        <w:numPr>
          <w:ilvl w:val="0"/>
          <w:numId w:val="1"/>
        </w:numPr>
        <w:spacing w:after="0"/>
        <w:contextualSpacing w:val="0"/>
        <w:rPr>
          <w:sz w:val="22"/>
          <w:szCs w:val="22"/>
        </w:rPr>
      </w:pPr>
      <w:r>
        <w:rPr>
          <w:sz w:val="22"/>
          <w:szCs w:val="22"/>
        </w:rPr>
        <w:t>ZBS7</w:t>
      </w:r>
    </w:p>
    <w:p>
      <w:pPr>
        <w:pStyle w:val="Listenabsatz"/>
        <w:numPr>
          <w:ilvl w:val="1"/>
          <w:numId w:val="1"/>
        </w:numPr>
        <w:spacing w:after="0"/>
        <w:contextualSpacing w:val="0"/>
        <w:rPr>
          <w:sz w:val="22"/>
          <w:szCs w:val="22"/>
        </w:rPr>
      </w:pPr>
      <w:r>
        <w:rPr>
          <w:sz w:val="22"/>
          <w:szCs w:val="22"/>
        </w:rPr>
        <w:t>Claudia Schulz-Weidhaas</w:t>
      </w:r>
    </w:p>
    <w:p>
      <w:pPr>
        <w:pStyle w:val="Listenabsatz"/>
        <w:numPr>
          <w:ilvl w:val="1"/>
          <w:numId w:val="1"/>
        </w:numPr>
        <w:spacing w:after="0"/>
        <w:contextualSpacing w:val="0"/>
        <w:rPr>
          <w:sz w:val="22"/>
          <w:szCs w:val="22"/>
        </w:rPr>
      </w:pPr>
      <w:r>
        <w:rPr>
          <w:sz w:val="22"/>
          <w:szCs w:val="22"/>
        </w:rPr>
        <w:t>Michaela Niebank</w:t>
      </w:r>
    </w:p>
    <w:p>
      <w:pPr>
        <w:spacing w:after="0"/>
        <w:rPr>
          <w:sz w:val="22"/>
        </w:rPr>
        <w:sectPr>
          <w:type w:val="continuous"/>
          <w:pgSz w:w="11900" w:h="16840"/>
          <w:pgMar w:top="1440" w:right="1800" w:bottom="1440" w:left="1800" w:header="708" w:footer="708" w:gutter="0"/>
          <w:cols w:num="2" w:space="560"/>
        </w:sectPr>
      </w:pPr>
    </w:p>
    <w:p>
      <w:pPr>
        <w:pStyle w:val="Liste2"/>
        <w:numPr>
          <w:ilvl w:val="0"/>
          <w:numId w:val="0"/>
        </w:numPr>
        <w:rPr>
          <w:lang w:val="de-DE"/>
        </w:rPr>
      </w:pPr>
    </w:p>
    <w:tbl>
      <w:tblPr>
        <w:tblStyle w:val="Tabellenraster"/>
        <w:tblW w:w="8359" w:type="dxa"/>
        <w:tblLayout w:type="fixed"/>
        <w:tblLook w:val="00A0" w:firstRow="1" w:lastRow="0" w:firstColumn="1" w:lastColumn="0" w:noHBand="0" w:noVBand="0"/>
      </w:tblPr>
      <w:tblGrid>
        <w:gridCol w:w="684"/>
        <w:gridCol w:w="7675"/>
      </w:tblGrid>
      <w:tr>
        <w:tc>
          <w:tcPr>
            <w:tcW w:w="684" w:type="dxa"/>
          </w:tcPr>
          <w:p>
            <w:pPr>
              <w:pStyle w:val="1"/>
              <w:jc w:val="center"/>
              <w:rPr>
                <w:sz w:val="24"/>
              </w:rPr>
            </w:pPr>
            <w:r>
              <w:rPr>
                <w:sz w:val="24"/>
              </w:rPr>
              <w:br w:type="page"/>
            </w:r>
            <w:r>
              <w:rPr>
                <w:sz w:val="24"/>
              </w:rPr>
              <w:br w:type="page"/>
              <w:t>TOP</w:t>
            </w:r>
          </w:p>
        </w:tc>
        <w:tc>
          <w:tcPr>
            <w:tcW w:w="7675" w:type="dxa"/>
          </w:tcPr>
          <w:p>
            <w:pPr>
              <w:pStyle w:val="1"/>
              <w:rPr>
                <w:sz w:val="24"/>
              </w:rPr>
            </w:pPr>
            <w:r>
              <w:rPr>
                <w:sz w:val="24"/>
              </w:rPr>
              <w:t>Beitrag/ Thema</w:t>
            </w:r>
          </w:p>
        </w:tc>
      </w:tr>
      <w:tr>
        <w:tc>
          <w:tcPr>
            <w:tcW w:w="684" w:type="dxa"/>
          </w:tcPr>
          <w:p>
            <w:pPr>
              <w:jc w:val="center"/>
              <w:rPr>
                <w:b/>
                <w:sz w:val="22"/>
                <w:szCs w:val="22"/>
              </w:rPr>
            </w:pPr>
            <w:r>
              <w:rPr>
                <w:b/>
                <w:sz w:val="22"/>
                <w:szCs w:val="22"/>
              </w:rPr>
              <w:t>0</w:t>
            </w:r>
          </w:p>
        </w:tc>
        <w:tc>
          <w:tcPr>
            <w:tcW w:w="7675" w:type="dxa"/>
          </w:tcPr>
          <w:p>
            <w:pPr>
              <w:pStyle w:val="Liste1"/>
              <w:rPr>
                <w:sz w:val="22"/>
                <w:szCs w:val="22"/>
              </w:rPr>
            </w:pPr>
            <w:r>
              <w:rPr>
                <w:sz w:val="22"/>
                <w:szCs w:val="22"/>
              </w:rPr>
              <w:t>Treffen wurde aufgrund mehrerer BMG-Erlasse nach den letzten GMK- (22.02.2022) und MPK-Beschlüssen (24.01.2022) einberufen</w:t>
            </w:r>
          </w:p>
          <w:p>
            <w:pPr>
              <w:pStyle w:val="Liste1"/>
              <w:rPr>
                <w:sz w:val="22"/>
                <w:szCs w:val="22"/>
              </w:rPr>
            </w:pPr>
            <w:r>
              <w:rPr>
                <w:sz w:val="22"/>
                <w:szCs w:val="22"/>
              </w:rPr>
              <w:t>Keine feste Frist, Antwort soll zeitnah heute Nachmittag erfolgen</w:t>
            </w:r>
          </w:p>
          <w:p>
            <w:pPr>
              <w:pStyle w:val="Liste1"/>
              <w:rPr>
                <w:sz w:val="22"/>
                <w:szCs w:val="22"/>
              </w:rPr>
            </w:pPr>
            <w:r>
              <w:rPr>
                <w:sz w:val="22"/>
                <w:szCs w:val="22"/>
              </w:rPr>
              <w:t>Sammeln und Vorlage bei BMG: Aufgabe Jung-Sendzik &amp; Rexroth</w:t>
            </w:r>
          </w:p>
        </w:tc>
      </w:tr>
      <w:tr>
        <w:tc>
          <w:tcPr>
            <w:tcW w:w="684" w:type="dxa"/>
          </w:tcPr>
          <w:p>
            <w:pPr>
              <w:jc w:val="center"/>
              <w:rPr>
                <w:b/>
                <w:sz w:val="22"/>
                <w:szCs w:val="22"/>
              </w:rPr>
            </w:pPr>
            <w:r>
              <w:rPr>
                <w:b/>
                <w:sz w:val="22"/>
                <w:szCs w:val="22"/>
              </w:rPr>
              <w:t>1</w:t>
            </w:r>
          </w:p>
        </w:tc>
        <w:tc>
          <w:tcPr>
            <w:tcW w:w="7675" w:type="dxa"/>
          </w:tcPr>
          <w:p>
            <w:pPr>
              <w:pStyle w:val="2"/>
              <w:rPr>
                <w:sz w:val="22"/>
                <w:szCs w:val="22"/>
              </w:rPr>
            </w:pPr>
            <w:r>
              <w:t>Quarantäne</w:t>
            </w:r>
            <w:r>
              <w:rPr>
                <w:sz w:val="22"/>
                <w:szCs w:val="22"/>
              </w:rPr>
              <w:t xml:space="preserve"> &amp; Isolierung</w:t>
            </w:r>
          </w:p>
          <w:p>
            <w:pPr>
              <w:pStyle w:val="Liste1"/>
              <w:rPr>
                <w:sz w:val="22"/>
                <w:szCs w:val="22"/>
              </w:rPr>
            </w:pPr>
            <w:r>
              <w:rPr>
                <w:sz w:val="22"/>
                <w:szCs w:val="22"/>
              </w:rPr>
              <w:t xml:space="preserve">Ziffer 6 des MPK-Beschlusses, Dokumententwurf </w:t>
            </w:r>
            <w:hyperlink r:id="rId10" w:history="1">
              <w:r>
                <w:rPr>
                  <w:rStyle w:val="Hyperlink"/>
                  <w:sz w:val="22"/>
                  <w:szCs w:val="22"/>
                </w:rPr>
                <w:t>hier</w:t>
              </w:r>
            </w:hyperlink>
          </w:p>
          <w:p>
            <w:pPr>
              <w:pStyle w:val="Liste1"/>
              <w:rPr>
                <w:sz w:val="22"/>
                <w:szCs w:val="22"/>
              </w:rPr>
            </w:pPr>
            <w:r>
              <w:rPr>
                <w:sz w:val="22"/>
                <w:szCs w:val="22"/>
              </w:rPr>
              <w:t>Anpassung diverser Punkte im Dokument</w:t>
            </w:r>
          </w:p>
          <w:p>
            <w:pPr>
              <w:pStyle w:val="Liste2"/>
              <w:rPr>
                <w:lang w:val="de-DE"/>
              </w:rPr>
            </w:pPr>
            <w:proofErr w:type="gramStart"/>
            <w:r>
              <w:rPr>
                <w:lang w:val="de-DE"/>
              </w:rPr>
              <w:t>Streichen</w:t>
            </w:r>
            <w:proofErr w:type="gramEnd"/>
            <w:r>
              <w:rPr>
                <w:lang w:val="de-DE"/>
              </w:rPr>
              <w:t xml:space="preserve"> der extra Zeile für Beschäftigte in KKH und Pflegeheimen usw.), stattdessen, Einbezug dieser unter allgemeiner Bevölkerung</w:t>
            </w:r>
          </w:p>
          <w:p>
            <w:pPr>
              <w:pStyle w:val="Liste2"/>
              <w:rPr>
                <w:lang w:val="de-DE"/>
              </w:rPr>
            </w:pPr>
            <w:r>
              <w:rPr>
                <w:lang w:val="de-DE"/>
              </w:rPr>
              <w:t>Zertifizierter Antigentest an 1. Stelle</w:t>
            </w:r>
          </w:p>
          <w:p>
            <w:pPr>
              <w:pStyle w:val="Liste2"/>
              <w:rPr>
                <w:lang w:val="de-DE"/>
              </w:rPr>
            </w:pPr>
            <w:r>
              <w:rPr>
                <w:lang w:val="de-DE"/>
              </w:rPr>
              <w:t>PCR wird als Option erhalten bleiben, es gibt viele Anfragen hierzu</w:t>
            </w:r>
          </w:p>
          <w:p>
            <w:pPr>
              <w:pStyle w:val="Liste2"/>
              <w:rPr>
                <w:lang w:val="de-DE"/>
              </w:rPr>
            </w:pPr>
            <w:r>
              <w:rPr>
                <w:lang w:val="de-DE"/>
              </w:rPr>
              <w:t xml:space="preserve">Wenn PCR-Testung bei allgemeiner Bevölkerung bleibt, Fußnote bzgl. Reservierung von PCR für KRITIS-Personal bei </w:t>
            </w:r>
            <w:proofErr w:type="spellStart"/>
            <w:r>
              <w:rPr>
                <w:lang w:val="de-DE"/>
              </w:rPr>
              <w:t>Kapazitätenengpass</w:t>
            </w:r>
            <w:proofErr w:type="spellEnd"/>
            <w:r>
              <w:rPr>
                <w:lang w:val="de-DE"/>
              </w:rPr>
              <w:t xml:space="preserve">? –  Erläuterungen zur Priorisierung erfolgen an anderer Stelle, nicht in diesem Papier </w:t>
            </w:r>
          </w:p>
          <w:p>
            <w:pPr>
              <w:pStyle w:val="Liste2"/>
              <w:rPr>
                <w:lang w:val="de-DE"/>
              </w:rPr>
            </w:pPr>
            <w:r>
              <w:rPr>
                <w:lang w:val="de-DE"/>
              </w:rPr>
              <w:t>Bei Beschäftigten in KKH und vorhandenen Kapazitäten ggf. negativer PCR-Test, ansonsten Tätigkeitsaufnahme nach negativem Antigentest</w:t>
            </w:r>
          </w:p>
          <w:p>
            <w:pPr>
              <w:pStyle w:val="Liste2"/>
              <w:rPr>
                <w:lang w:val="de-DE"/>
              </w:rPr>
            </w:pPr>
            <w:r>
              <w:rPr>
                <w:lang w:val="de-DE"/>
              </w:rPr>
              <w:t xml:space="preserve">Beenden Isolierung: erneuter Test nach 2 Tagen (Tag 10) wird (sichtbar) </w:t>
            </w:r>
            <w:proofErr w:type="gramStart"/>
            <w:r>
              <w:rPr>
                <w:lang w:val="de-DE"/>
              </w:rPr>
              <w:t>gestrichen</w:t>
            </w:r>
            <w:proofErr w:type="gramEnd"/>
            <w:r>
              <w:rPr>
                <w:lang w:val="de-DE"/>
              </w:rPr>
              <w:t xml:space="preserve"> </w:t>
            </w:r>
            <w:r>
              <w:rPr>
                <w:lang w:val="de-DE"/>
              </w:rPr>
              <w:sym w:font="Wingdings" w:char="F0E0"/>
            </w:r>
            <w:r>
              <w:rPr>
                <w:lang w:val="de-DE"/>
              </w:rPr>
              <w:t xml:space="preserve"> wenn an Tag 7 noch positiv, dann Isolierung bis Tag 10</w:t>
            </w:r>
          </w:p>
          <w:p>
            <w:pPr>
              <w:pStyle w:val="Liste1"/>
              <w:rPr>
                <w:sz w:val="22"/>
                <w:szCs w:val="22"/>
              </w:rPr>
            </w:pPr>
            <w:r>
              <w:rPr>
                <w:sz w:val="22"/>
                <w:szCs w:val="22"/>
              </w:rPr>
              <w:t>Es gibt eine Sonder-AGI-Sitzung am Donnerstag</w:t>
            </w:r>
          </w:p>
          <w:p>
            <w:pPr>
              <w:pStyle w:val="Liste1"/>
              <w:rPr>
                <w:sz w:val="22"/>
                <w:szCs w:val="22"/>
              </w:rPr>
            </w:pPr>
            <w:r>
              <w:rPr>
                <w:sz w:val="22"/>
                <w:szCs w:val="22"/>
              </w:rPr>
              <w:t>Es gibt in dem Dokument zusätzlich zu den MPK-Beschlüssen noch mehr Nachbesserungsbedarf. Andere Dinge können im Hintergrund vorbereitet werden, jetzt zunächst Fokus auf den Erlass heute, in Begleittext kann auf die zusätzlich offenen Punkte hingewiesen werden</w:t>
            </w:r>
          </w:p>
          <w:p>
            <w:pPr>
              <w:pStyle w:val="Liste1"/>
              <w:rPr>
                <w:sz w:val="22"/>
                <w:szCs w:val="22"/>
              </w:rPr>
            </w:pPr>
            <w:r>
              <w:rPr>
                <w:sz w:val="22"/>
                <w:szCs w:val="22"/>
              </w:rPr>
              <w:lastRenderedPageBreak/>
              <w:t xml:space="preserve">Ute Rexroth hat mitgeschrieben und schickt Dokument an Muna Abu Sin, letztere entwickelt gemeinsam mit FG36 Vorschlag </w:t>
            </w:r>
            <w:r>
              <w:rPr>
                <w:sz w:val="22"/>
                <w:szCs w:val="22"/>
              </w:rPr>
              <w:br/>
            </w:r>
          </w:p>
        </w:tc>
      </w:tr>
      <w:tr>
        <w:tc>
          <w:tcPr>
            <w:tcW w:w="684" w:type="dxa"/>
          </w:tcPr>
          <w:p>
            <w:pPr>
              <w:jc w:val="center"/>
              <w:rPr>
                <w:b/>
                <w:sz w:val="22"/>
                <w:szCs w:val="22"/>
              </w:rPr>
            </w:pPr>
            <w:r>
              <w:rPr>
                <w:b/>
                <w:sz w:val="22"/>
                <w:szCs w:val="22"/>
              </w:rPr>
              <w:lastRenderedPageBreak/>
              <w:t>2</w:t>
            </w:r>
          </w:p>
        </w:tc>
        <w:tc>
          <w:tcPr>
            <w:tcW w:w="7675" w:type="dxa"/>
          </w:tcPr>
          <w:p>
            <w:pPr>
              <w:pStyle w:val="2"/>
              <w:rPr>
                <w:sz w:val="22"/>
                <w:szCs w:val="22"/>
              </w:rPr>
            </w:pPr>
            <w:r>
              <w:t>Kontaktpersonenmanagement</w:t>
            </w:r>
            <w:r>
              <w:rPr>
                <w:sz w:val="22"/>
                <w:szCs w:val="22"/>
              </w:rPr>
              <w:t>, Email 23:27 BMG (Rottmann)</w:t>
            </w:r>
          </w:p>
          <w:p>
            <w:pPr>
              <w:pStyle w:val="Liste1"/>
              <w:rPr>
                <w:sz w:val="22"/>
                <w:szCs w:val="22"/>
              </w:rPr>
            </w:pPr>
            <w:r>
              <w:rPr>
                <w:sz w:val="22"/>
                <w:szCs w:val="22"/>
              </w:rPr>
              <w:t xml:space="preserve">Ziffer 8 des MPK-Beschlusses, kommentiertes MPK Dokument </w:t>
            </w:r>
            <w:hyperlink r:id="rId11" w:history="1">
              <w:r>
                <w:rPr>
                  <w:rStyle w:val="Hyperlink"/>
                  <w:sz w:val="22"/>
                  <w:szCs w:val="22"/>
                </w:rPr>
                <w:t>hier</w:t>
              </w:r>
            </w:hyperlink>
            <w:r>
              <w:rPr>
                <w:sz w:val="22"/>
                <w:szCs w:val="22"/>
              </w:rPr>
              <w:t xml:space="preserve"> </w:t>
            </w:r>
          </w:p>
          <w:p>
            <w:pPr>
              <w:pStyle w:val="Liste1"/>
              <w:rPr>
                <w:sz w:val="22"/>
                <w:szCs w:val="22"/>
              </w:rPr>
            </w:pPr>
            <w:r>
              <w:rPr>
                <w:sz w:val="22"/>
                <w:szCs w:val="22"/>
              </w:rPr>
              <w:t>RKI-Rahmenempfehlung ist nun so anzupassen und zu priorisieren, dass es MPK-Beschluss entspricht und auf RKI-Seite publiziert werden kann</w:t>
            </w:r>
          </w:p>
          <w:p>
            <w:pPr>
              <w:pStyle w:val="Liste1"/>
              <w:rPr>
                <w:sz w:val="22"/>
                <w:szCs w:val="22"/>
              </w:rPr>
            </w:pPr>
            <w:r>
              <w:rPr>
                <w:sz w:val="22"/>
                <w:szCs w:val="22"/>
              </w:rPr>
              <w:t>Besprochene Anpassungen</w:t>
            </w:r>
          </w:p>
          <w:p>
            <w:pPr>
              <w:pStyle w:val="Liste2"/>
              <w:rPr>
                <w:lang w:val="de-DE"/>
              </w:rPr>
            </w:pPr>
            <w:r>
              <w:rPr>
                <w:lang w:val="de-DE"/>
              </w:rPr>
              <w:t>Superspreader werden gestrichen, keine nicht zwingend notwendigen Spezialregelungen mehr</w:t>
            </w:r>
          </w:p>
          <w:p>
            <w:pPr>
              <w:pStyle w:val="Liste2"/>
              <w:rPr>
                <w:lang w:val="de-DE"/>
              </w:rPr>
            </w:pPr>
            <w:r>
              <w:rPr>
                <w:lang w:val="de-DE"/>
              </w:rPr>
              <w:t>Priorisieren von Bereichen in denen viele medizinisch vulnerable Personen (höheres Risiko für einen schweren Verlauf) zu erwarten sind</w:t>
            </w:r>
          </w:p>
          <w:p>
            <w:pPr>
              <w:pStyle w:val="Liste2"/>
              <w:rPr>
                <w:lang w:val="de-DE"/>
              </w:rPr>
            </w:pPr>
            <w:r>
              <w:rPr>
                <w:lang w:val="de-DE"/>
              </w:rPr>
              <w:t>Dauer der Quarantäne und Isolierung sollte „auf das notwendige Maß“ beschränkt sein</w:t>
            </w:r>
          </w:p>
          <w:p>
            <w:pPr>
              <w:pStyle w:val="Liste2"/>
              <w:rPr>
                <w:lang w:val="de-DE"/>
              </w:rPr>
            </w:pPr>
            <w:r>
              <w:rPr>
                <w:lang w:val="de-DE"/>
              </w:rPr>
              <w:t xml:space="preserve">Dauer ist einrichtungsbezogen verschieden und anders als in der Tabelle </w:t>
            </w:r>
          </w:p>
          <w:p>
            <w:pPr>
              <w:pStyle w:val="Liste1"/>
              <w:rPr>
                <w:sz w:val="22"/>
                <w:szCs w:val="22"/>
              </w:rPr>
            </w:pPr>
            <w:r>
              <w:rPr>
                <w:sz w:val="22"/>
                <w:szCs w:val="22"/>
              </w:rPr>
              <w:t xml:space="preserve">Titel anpassen (gemäß GMK und MPK-Beschlüsse), Verweisen auf KoNa Papier am Anfang und dieses mitschicken, „optische Darstellung“ in grauem Kasten am Anfang </w:t>
            </w:r>
          </w:p>
          <w:p>
            <w:pPr>
              <w:pStyle w:val="Liste1"/>
              <w:rPr>
                <w:sz w:val="22"/>
                <w:szCs w:val="22"/>
              </w:rPr>
            </w:pPr>
            <w:r>
              <w:rPr>
                <w:sz w:val="22"/>
                <w:szCs w:val="22"/>
              </w:rPr>
              <w:t>Unter 3.2.2 im KoNa Papier</w:t>
            </w:r>
          </w:p>
          <w:p>
            <w:pPr>
              <w:pStyle w:val="Liste2"/>
              <w:rPr>
                <w:lang w:val="de-DE"/>
              </w:rPr>
            </w:pPr>
            <w:r>
              <w:rPr>
                <w:lang w:val="de-DE"/>
              </w:rPr>
              <w:t>Tabelle (die jetzt noch separat steht) soll in KoNa-</w:t>
            </w:r>
            <w:proofErr w:type="gramStart"/>
            <w:r>
              <w:rPr>
                <w:lang w:val="de-DE"/>
              </w:rPr>
              <w:t>Papier  eingefügt</w:t>
            </w:r>
            <w:proofErr w:type="gramEnd"/>
            <w:r>
              <w:rPr>
                <w:lang w:val="de-DE"/>
              </w:rPr>
              <w:t xml:space="preserve"> werden</w:t>
            </w:r>
          </w:p>
          <w:p>
            <w:pPr>
              <w:pStyle w:val="Liste2"/>
              <w:rPr>
                <w:lang w:val="de-DE"/>
              </w:rPr>
            </w:pPr>
            <w:r>
              <w:rPr>
                <w:lang w:val="de-DE"/>
              </w:rPr>
              <w:t>Auf der RKI-KoNa-Internetseite Veröffentlichung der fachlichen Papiere, Management und Tabelle, hierauf kann verwiesen werden</w:t>
            </w:r>
          </w:p>
          <w:p>
            <w:pPr>
              <w:pStyle w:val="Liste2"/>
              <w:rPr>
                <w:lang w:val="de-DE"/>
              </w:rPr>
            </w:pPr>
            <w:r>
              <w:rPr>
                <w:lang w:val="de-DE"/>
              </w:rPr>
              <w:t>Alter Link Absonderung wird beibehalten (ansonsten müsste an anderen Stellen auch korrigiert werden)</w:t>
            </w:r>
          </w:p>
          <w:p>
            <w:pPr>
              <w:pStyle w:val="Liste2"/>
              <w:rPr>
                <w:lang w:val="de-DE"/>
              </w:rPr>
            </w:pPr>
            <w:r>
              <w:rPr>
                <w:lang w:val="de-DE"/>
              </w:rPr>
              <w:t>MPK-Tabelle basierend auf der VO kann über Absonderung oder über KoNa-Management erreicht werden</w:t>
            </w:r>
          </w:p>
          <w:p>
            <w:pPr>
              <w:pStyle w:val="Liste1"/>
              <w:rPr>
                <w:sz w:val="22"/>
                <w:szCs w:val="22"/>
              </w:rPr>
            </w:pPr>
            <w:r>
              <w:rPr>
                <w:sz w:val="22"/>
                <w:szCs w:val="22"/>
              </w:rPr>
              <w:t>FG36 und Pressestelle besprechen und finalisieren dies noch</w:t>
            </w:r>
          </w:p>
          <w:p>
            <w:pPr>
              <w:pStyle w:val="Liste1"/>
              <w:numPr>
                <w:ilvl w:val="0"/>
                <w:numId w:val="0"/>
              </w:numPr>
              <w:ind w:left="473" w:hanging="360"/>
              <w:rPr>
                <w:sz w:val="22"/>
                <w:szCs w:val="22"/>
              </w:rPr>
            </w:pPr>
          </w:p>
        </w:tc>
      </w:tr>
      <w:tr>
        <w:trPr>
          <w:trHeight w:val="518"/>
        </w:trPr>
        <w:tc>
          <w:tcPr>
            <w:tcW w:w="684" w:type="dxa"/>
          </w:tcPr>
          <w:p>
            <w:pPr>
              <w:jc w:val="center"/>
              <w:rPr>
                <w:b/>
                <w:sz w:val="22"/>
                <w:szCs w:val="22"/>
              </w:rPr>
            </w:pPr>
            <w:r>
              <w:rPr>
                <w:b/>
                <w:sz w:val="22"/>
                <w:szCs w:val="22"/>
              </w:rPr>
              <w:t>3</w:t>
            </w:r>
          </w:p>
        </w:tc>
        <w:tc>
          <w:tcPr>
            <w:tcW w:w="7675" w:type="dxa"/>
          </w:tcPr>
          <w:p>
            <w:pPr>
              <w:pStyle w:val="2"/>
              <w:rPr>
                <w:sz w:val="22"/>
                <w:szCs w:val="22"/>
              </w:rPr>
            </w:pPr>
            <w:r>
              <w:t>Genesenennachweis</w:t>
            </w:r>
          </w:p>
          <w:p>
            <w:pPr>
              <w:pStyle w:val="Liste1"/>
              <w:rPr>
                <w:sz w:val="22"/>
                <w:szCs w:val="22"/>
              </w:rPr>
            </w:pPr>
            <w:r>
              <w:rPr>
                <w:sz w:val="22"/>
                <w:szCs w:val="22"/>
              </w:rPr>
              <w:t xml:space="preserve">Ziffer 7 des MPK-Beschlusses, Entwurfsdokument </w:t>
            </w:r>
            <w:hyperlink r:id="rId12" w:history="1">
              <w:r>
                <w:rPr>
                  <w:rStyle w:val="Hyperlink"/>
                  <w:sz w:val="22"/>
                  <w:szCs w:val="22"/>
                </w:rPr>
                <w:t>hier</w:t>
              </w:r>
            </w:hyperlink>
          </w:p>
          <w:p>
            <w:pPr>
              <w:pStyle w:val="Liste1"/>
              <w:rPr>
                <w:sz w:val="22"/>
                <w:szCs w:val="22"/>
              </w:rPr>
            </w:pPr>
            <w:r>
              <w:rPr>
                <w:sz w:val="22"/>
                <w:szCs w:val="22"/>
              </w:rPr>
              <w:t>Ist nicht adressiert im heutigen Erlass, wird jedoch mit vorgelegt</w:t>
            </w:r>
          </w:p>
          <w:p>
            <w:pPr>
              <w:pStyle w:val="Liste1"/>
              <w:rPr>
                <w:sz w:val="22"/>
                <w:szCs w:val="22"/>
              </w:rPr>
            </w:pPr>
            <w:r>
              <w:rPr>
                <w:sz w:val="22"/>
                <w:szCs w:val="22"/>
              </w:rPr>
              <w:t xml:space="preserve">Neben PCR auch zweimaligen Teststation- (oder </w:t>
            </w:r>
            <w:proofErr w:type="gramStart"/>
            <w:r>
              <w:rPr>
                <w:sz w:val="22"/>
                <w:szCs w:val="22"/>
              </w:rPr>
              <w:t>Labor)-</w:t>
            </w:r>
            <w:proofErr w:type="gramEnd"/>
            <w:r>
              <w:rPr>
                <w:sz w:val="22"/>
                <w:szCs w:val="22"/>
              </w:rPr>
              <w:t>Antigentest von unterschiedlichen qualitativ hochwertigen Herstellern (Verweis auf PEI) mit einfügen</w:t>
            </w:r>
          </w:p>
          <w:p>
            <w:pPr>
              <w:pStyle w:val="Liste1"/>
              <w:rPr>
                <w:sz w:val="22"/>
                <w:szCs w:val="22"/>
              </w:rPr>
            </w:pPr>
            <w:r>
              <w:rPr>
                <w:sz w:val="22"/>
                <w:szCs w:val="22"/>
              </w:rPr>
              <w:t>Wie wird Bestätigung dokumentiert?</w:t>
            </w:r>
          </w:p>
          <w:p>
            <w:pPr>
              <w:pStyle w:val="Liste2"/>
              <w:rPr>
                <w:lang w:val="de-DE"/>
              </w:rPr>
            </w:pPr>
            <w:r>
              <w:rPr>
                <w:lang w:val="de-DE"/>
              </w:rPr>
              <w:t>Einmaliger Antigentest (Ag-Test) kann laut EU-Vorgaben als europäisches COVID-19-Zertifikat vermerkt werden, zweiter Ag-Test nicht, auch nicht die Test-Hochwertigkeit</w:t>
            </w:r>
          </w:p>
          <w:p>
            <w:pPr>
              <w:pStyle w:val="Liste2"/>
              <w:rPr>
                <w:lang w:val="de-DE"/>
              </w:rPr>
            </w:pPr>
            <w:r>
              <w:rPr>
                <w:lang w:val="de-DE"/>
              </w:rPr>
              <w:t>Entsprechendes Zertifikat basierend auf 2 Ag-Nachweisen kann nicht als gültiges EU-CC dokumentiert werden</w:t>
            </w:r>
          </w:p>
          <w:p>
            <w:pPr>
              <w:pStyle w:val="Liste1"/>
              <w:rPr>
                <w:sz w:val="22"/>
                <w:szCs w:val="22"/>
              </w:rPr>
            </w:pPr>
            <w:r>
              <w:rPr>
                <w:sz w:val="22"/>
                <w:szCs w:val="22"/>
              </w:rPr>
              <w:t>Zeitrahmen Genesene</w:t>
            </w:r>
          </w:p>
          <w:p>
            <w:pPr>
              <w:pStyle w:val="Liste2"/>
              <w:rPr>
                <w:lang w:val="de-DE"/>
              </w:rPr>
            </w:pPr>
            <w:r>
              <w:rPr>
                <w:lang w:val="de-DE"/>
              </w:rPr>
              <w:t>Nach erstem Test nach frühestens 28 Tagen (im Zertifikat kann nur Datum von einem Test hinterlegt werden, Entscheidung für ersten)</w:t>
            </w:r>
          </w:p>
          <w:p>
            <w:pPr>
              <w:pStyle w:val="Liste2"/>
              <w:rPr>
                <w:lang w:val="de-DE"/>
              </w:rPr>
            </w:pPr>
            <w:proofErr w:type="spellStart"/>
            <w:r>
              <w:rPr>
                <w:lang w:val="de-DE"/>
              </w:rPr>
              <w:t>Genesenennachweis</w:t>
            </w:r>
            <w:proofErr w:type="spellEnd"/>
            <w:r>
              <w:rPr>
                <w:lang w:val="de-DE"/>
              </w:rPr>
              <w:t xml:space="preserve"> wird nach 90 Tagen ungültig, aber für vollständig geimpfte Genesene (wenn vor Infektion vollständig geimpft) ist dies anders, Genesung ist wie Booster und verlängert Gültigkeitsdauer</w:t>
            </w:r>
          </w:p>
          <w:p>
            <w:pPr>
              <w:pStyle w:val="Liste2"/>
              <w:rPr>
                <w:lang w:val="de-DE"/>
              </w:rPr>
            </w:pPr>
            <w:r>
              <w:rPr>
                <w:lang w:val="de-DE"/>
              </w:rPr>
              <w:lastRenderedPageBreak/>
              <w:t xml:space="preserve">Wenn das </w:t>
            </w:r>
            <w:proofErr w:type="spellStart"/>
            <w:r>
              <w:rPr>
                <w:lang w:val="de-DE"/>
              </w:rPr>
              <w:t>Genesenenzertifikat</w:t>
            </w:r>
            <w:proofErr w:type="spellEnd"/>
            <w:r>
              <w:rPr>
                <w:lang w:val="de-DE"/>
              </w:rPr>
              <w:t xml:space="preserve"> nach 90 Tagen seine Gültigkeit verliert, kann es nicht mehr in Zusammenhang mit einer vorherigen Impfung genutzt werden um die 2G-Frist zu verlängern</w:t>
            </w:r>
          </w:p>
          <w:p>
            <w:pPr>
              <w:pStyle w:val="Liste1"/>
              <w:rPr>
                <w:sz w:val="22"/>
                <w:szCs w:val="22"/>
              </w:rPr>
            </w:pPr>
            <w:r>
              <w:rPr>
                <w:sz w:val="22"/>
                <w:szCs w:val="22"/>
              </w:rPr>
              <w:t>Achtung: Unterschied Nachweis (z.B. Infektion, wird nicht ungeschehen gemacht) vs. Zertifikat (mit begrenzter Gültigkeit), verschiedene Konstellationen sind möglich</w:t>
            </w:r>
          </w:p>
          <w:p>
            <w:pPr>
              <w:pStyle w:val="Liste1"/>
              <w:rPr>
                <w:sz w:val="22"/>
                <w:szCs w:val="22"/>
              </w:rPr>
            </w:pPr>
            <w:r>
              <w:rPr>
                <w:sz w:val="22"/>
                <w:szCs w:val="22"/>
              </w:rPr>
              <w:t>Reinfektion Definition</w:t>
            </w:r>
          </w:p>
          <w:p>
            <w:pPr>
              <w:pStyle w:val="Liste2"/>
              <w:rPr>
                <w:lang w:val="de-DE"/>
              </w:rPr>
            </w:pPr>
            <w:r>
              <w:rPr>
                <w:lang w:val="de-DE"/>
              </w:rPr>
              <w:t xml:space="preserve">Was ist mit Reinfizierten mit erst Delta und dann Omikron? </w:t>
            </w:r>
          </w:p>
          <w:p>
            <w:pPr>
              <w:pStyle w:val="Liste2"/>
              <w:rPr>
                <w:lang w:val="de-DE"/>
              </w:rPr>
            </w:pPr>
            <w:r>
              <w:rPr>
                <w:lang w:val="de-DE"/>
              </w:rPr>
              <w:t>Handlungsbedarf für neue Formulierung die bald sehr viele Genesene betrifft</w:t>
            </w:r>
          </w:p>
          <w:p>
            <w:pPr>
              <w:pStyle w:val="Liste2"/>
              <w:rPr>
                <w:lang w:val="de-DE"/>
              </w:rPr>
            </w:pPr>
            <w:r>
              <w:rPr>
                <w:lang w:val="de-DE"/>
              </w:rPr>
              <w:t>Immunschutz bei diesen mehrfach Infizierten ist noch nicht bekannt, deswegen konservative Formulierung, diese Gruppe kann noch nicht berücksichtigt werden</w:t>
            </w:r>
          </w:p>
          <w:p>
            <w:pPr>
              <w:pStyle w:val="Liste2"/>
              <w:rPr>
                <w:lang w:val="de-DE"/>
              </w:rPr>
            </w:pPr>
            <w:r>
              <w:rPr>
                <w:lang w:val="de-DE"/>
              </w:rPr>
              <w:t>Immunität aus Genesung nach natürlicher Infektion ist komplexer als nach Impfung, wissenschaftliche Unsicherheit hierüber könnte in einem fachlichen Dokument zum Ausdruck gebracht werden, ist differenziert auch abhängig von (stärke der) Symptomatik, wo liegen Unwägbarkeiten</w:t>
            </w:r>
          </w:p>
          <w:p>
            <w:pPr>
              <w:pStyle w:val="Liste2"/>
              <w:rPr>
                <w:lang w:val="de-DE"/>
              </w:rPr>
            </w:pPr>
            <w:r>
              <w:rPr>
                <w:lang w:val="de-DE"/>
              </w:rPr>
              <w:t>Wird nicht in dieses Dokument, das rechtliche Vorgaben macht, integriert</w:t>
            </w:r>
          </w:p>
          <w:p>
            <w:pPr>
              <w:pStyle w:val="Liste1"/>
              <w:numPr>
                <w:ilvl w:val="0"/>
                <w:numId w:val="0"/>
              </w:numPr>
              <w:ind w:left="473" w:hanging="360"/>
              <w:rPr>
                <w:sz w:val="22"/>
                <w:szCs w:val="22"/>
              </w:rPr>
            </w:pPr>
          </w:p>
        </w:tc>
      </w:tr>
      <w:tr>
        <w:tc>
          <w:tcPr>
            <w:tcW w:w="684" w:type="dxa"/>
          </w:tcPr>
          <w:p>
            <w:pPr>
              <w:jc w:val="center"/>
              <w:rPr>
                <w:b/>
                <w:sz w:val="22"/>
                <w:szCs w:val="22"/>
              </w:rPr>
            </w:pPr>
            <w:r>
              <w:rPr>
                <w:b/>
                <w:sz w:val="22"/>
                <w:szCs w:val="22"/>
              </w:rPr>
              <w:lastRenderedPageBreak/>
              <w:t>4</w:t>
            </w:r>
          </w:p>
        </w:tc>
        <w:tc>
          <w:tcPr>
            <w:tcW w:w="7675" w:type="dxa"/>
          </w:tcPr>
          <w:p>
            <w:pPr>
              <w:pStyle w:val="2"/>
            </w:pPr>
            <w:r>
              <w:t xml:space="preserve">Darstellung Covid-19-Surveillance bei steigenden Infektions-Fallzahlen; Begründung der Trennung von PCR- &amp; Antigen-Testzahlen in der Statistik </w:t>
            </w:r>
          </w:p>
          <w:p>
            <w:pPr>
              <w:pStyle w:val="Liste1"/>
              <w:rPr>
                <w:sz w:val="22"/>
              </w:rPr>
            </w:pPr>
            <w:r>
              <w:rPr>
                <w:sz w:val="22"/>
              </w:rPr>
              <w:t>Michaela Diercke stellt Grafik mit übermittelten Ag- und PCR-Fallzahlen vor</w:t>
            </w:r>
          </w:p>
          <w:p>
            <w:pPr>
              <w:pStyle w:val="Liste2"/>
              <w:rPr>
                <w:lang w:val="de-DE"/>
              </w:rPr>
            </w:pPr>
            <w:r>
              <w:rPr>
                <w:lang w:val="de-DE"/>
              </w:rPr>
              <w:t xml:space="preserve">Ag-Tests ohne anschließende PCR-Bestätigung machen sehr kleinen Anteil der insgesamt gemeldeten positiven Testungen aus, Illustration dient lediglich zur Veranschaulichung </w:t>
            </w:r>
          </w:p>
          <w:p>
            <w:pPr>
              <w:pStyle w:val="Liste2"/>
              <w:rPr>
                <w:szCs w:val="22"/>
              </w:rPr>
            </w:pPr>
            <w:r>
              <w:rPr>
                <w:szCs w:val="22"/>
              </w:rPr>
              <w:t xml:space="preserve">RKI-Dashboard </w:t>
            </w:r>
            <w:proofErr w:type="spellStart"/>
            <w:r>
              <w:rPr>
                <w:szCs w:val="22"/>
              </w:rPr>
              <w:t>würde</w:t>
            </w:r>
            <w:proofErr w:type="spellEnd"/>
            <w:r>
              <w:rPr>
                <w:szCs w:val="22"/>
              </w:rPr>
              <w:t xml:space="preserve"> </w:t>
            </w:r>
            <w:proofErr w:type="spellStart"/>
            <w:r>
              <w:rPr>
                <w:szCs w:val="22"/>
              </w:rPr>
              <w:t>nicht</w:t>
            </w:r>
            <w:proofErr w:type="spellEnd"/>
            <w:r>
              <w:rPr>
                <w:szCs w:val="22"/>
              </w:rPr>
              <w:t xml:space="preserve"> </w:t>
            </w:r>
            <w:proofErr w:type="spellStart"/>
            <w:r>
              <w:rPr>
                <w:szCs w:val="22"/>
              </w:rPr>
              <w:t>angepasst</w:t>
            </w:r>
            <w:proofErr w:type="spellEnd"/>
          </w:p>
          <w:p>
            <w:pPr>
              <w:pStyle w:val="Liste2"/>
              <w:rPr>
                <w:szCs w:val="22"/>
                <w:lang w:val="de-DE"/>
              </w:rPr>
            </w:pPr>
            <w:r>
              <w:rPr>
                <w:szCs w:val="22"/>
                <w:lang w:val="de-DE"/>
              </w:rPr>
              <w:t xml:space="preserve">Grafik könnte in RKI-COVID-19 Wochenbericht aufgenommen werden </w:t>
            </w:r>
          </w:p>
          <w:p>
            <w:pPr>
              <w:pStyle w:val="Liste2"/>
              <w:rPr>
                <w:szCs w:val="22"/>
                <w:lang w:val="de-DE"/>
              </w:rPr>
            </w:pPr>
            <w:r>
              <w:rPr>
                <w:szCs w:val="22"/>
                <w:lang w:val="de-DE"/>
              </w:rPr>
              <w:t>Positive Ag-Test-Fallzahlen werden in den GA nicht eingegeben</w:t>
            </w:r>
          </w:p>
          <w:p>
            <w:pPr>
              <w:pStyle w:val="Liste2"/>
              <w:rPr>
                <w:szCs w:val="22"/>
                <w:lang w:val="de-DE"/>
              </w:rPr>
            </w:pPr>
            <w:r>
              <w:rPr>
                <w:szCs w:val="22"/>
                <w:lang w:val="de-DE"/>
              </w:rPr>
              <w:t>Testzentren melden per Fax, muss per Hand eingegeben werden</w:t>
            </w:r>
          </w:p>
          <w:p>
            <w:pPr>
              <w:pStyle w:val="Liste2"/>
              <w:rPr>
                <w:szCs w:val="22"/>
                <w:lang w:val="de-DE"/>
              </w:rPr>
            </w:pPr>
            <w:r>
              <w:rPr>
                <w:szCs w:val="22"/>
                <w:lang w:val="de-DE"/>
              </w:rPr>
              <w:t>Anteil positiver Ag-Fälle wird wahrscheinlich steigen, wenn Labore umstellen und selber auch mehr Ag-Testnachweise machen</w:t>
            </w:r>
          </w:p>
          <w:p>
            <w:pPr>
              <w:pStyle w:val="Liste2"/>
              <w:rPr>
                <w:szCs w:val="22"/>
                <w:lang w:val="de-DE"/>
              </w:rPr>
            </w:pPr>
            <w:r>
              <w:rPr>
                <w:szCs w:val="22"/>
                <w:lang w:val="de-DE"/>
              </w:rPr>
              <w:t xml:space="preserve">Positivanteil bei Omikron im ambulanten Bereich aktuell ~20% </w:t>
            </w:r>
          </w:p>
          <w:p>
            <w:pPr>
              <w:pStyle w:val="Liste2"/>
              <w:rPr>
                <w:szCs w:val="22"/>
                <w:lang w:val="de-DE"/>
              </w:rPr>
            </w:pPr>
            <w:r>
              <w:rPr>
                <w:szCs w:val="22"/>
                <w:lang w:val="de-DE"/>
              </w:rPr>
              <w:t xml:space="preserve">Bei den hohen Fallzahlen macht Vollerfassung keinen Sinn mehr, eine repräsentative Erfassung auf Bevölkerungsebene ist nicht möglich </w:t>
            </w:r>
          </w:p>
          <w:p>
            <w:pPr>
              <w:pStyle w:val="Liste2"/>
              <w:rPr>
                <w:szCs w:val="22"/>
                <w:lang w:val="de-DE"/>
              </w:rPr>
            </w:pPr>
            <w:r>
              <w:rPr>
                <w:szCs w:val="22"/>
                <w:lang w:val="de-DE"/>
              </w:rPr>
              <w:t xml:space="preserve">Falls wirklich gewünscht, könnten Ag-Tests in den Wochenbericht aufgenommen werden, RKI rät (aufgrund der Untererfassung) davon ab </w:t>
            </w:r>
          </w:p>
          <w:p>
            <w:pPr>
              <w:pStyle w:val="Liste2"/>
              <w:rPr>
                <w:szCs w:val="22"/>
                <w:lang w:val="de-DE"/>
              </w:rPr>
            </w:pPr>
            <w:r>
              <w:rPr>
                <w:szCs w:val="22"/>
                <w:lang w:val="de-DE"/>
              </w:rPr>
              <w:t>Mischung der Fallzahlen der verschiedenen Testungen würden zu Sprung in der Statistik führen und hätten keinen Interpretationswert</w:t>
            </w:r>
          </w:p>
          <w:p>
            <w:pPr>
              <w:pStyle w:val="Liste2"/>
              <w:rPr>
                <w:szCs w:val="22"/>
                <w:lang w:val="de-DE"/>
              </w:rPr>
            </w:pPr>
            <w:r>
              <w:rPr>
                <w:szCs w:val="22"/>
                <w:lang w:val="de-DE"/>
              </w:rPr>
              <w:t>Kommt diese Woche nicht in den Wochenbericht, frühestens nächste Woche Umsetzung</w:t>
            </w:r>
          </w:p>
          <w:p>
            <w:pPr>
              <w:pStyle w:val="Liste1"/>
              <w:rPr>
                <w:sz w:val="22"/>
                <w:szCs w:val="22"/>
              </w:rPr>
            </w:pPr>
            <w:r>
              <w:rPr>
                <w:sz w:val="22"/>
                <w:szCs w:val="22"/>
              </w:rPr>
              <w:t>Im Bericht zu erwähnen: GA stehen vor Kollaps, Vollerfassung ist unmöglich</w:t>
            </w:r>
          </w:p>
          <w:p>
            <w:pPr>
              <w:pStyle w:val="Liste1"/>
              <w:rPr>
                <w:sz w:val="22"/>
                <w:szCs w:val="22"/>
              </w:rPr>
            </w:pPr>
            <w:r>
              <w:rPr>
                <w:sz w:val="22"/>
                <w:szCs w:val="22"/>
              </w:rPr>
              <w:t>Michaela Diercke und Silke Buda bereiten Antwort vor</w:t>
            </w:r>
          </w:p>
          <w:p>
            <w:pPr>
              <w:pStyle w:val="Liste1"/>
              <w:numPr>
                <w:ilvl w:val="0"/>
                <w:numId w:val="0"/>
              </w:numPr>
              <w:ind w:left="113"/>
              <w:rPr>
                <w:sz w:val="22"/>
                <w:szCs w:val="22"/>
              </w:rPr>
            </w:pPr>
          </w:p>
        </w:tc>
      </w:tr>
      <w:tr>
        <w:tc>
          <w:tcPr>
            <w:tcW w:w="684" w:type="dxa"/>
          </w:tcPr>
          <w:p>
            <w:pPr>
              <w:jc w:val="center"/>
              <w:rPr>
                <w:b/>
                <w:sz w:val="22"/>
                <w:szCs w:val="22"/>
              </w:rPr>
            </w:pPr>
            <w:r>
              <w:rPr>
                <w:b/>
                <w:sz w:val="22"/>
                <w:szCs w:val="22"/>
              </w:rPr>
              <w:t>5</w:t>
            </w:r>
          </w:p>
        </w:tc>
        <w:tc>
          <w:tcPr>
            <w:tcW w:w="7675" w:type="dxa"/>
          </w:tcPr>
          <w:p>
            <w:pPr>
              <w:pStyle w:val="2"/>
            </w:pPr>
            <w:bookmarkStart w:id="0" w:name="_Hlk94098488"/>
            <w:r>
              <w:t xml:space="preserve">Modellierung notwendiger theoretischer PCR-Testkapazitäten um Infektionsentwicklung „angemessen“ abzubilden </w:t>
            </w:r>
          </w:p>
          <w:p>
            <w:pPr>
              <w:pStyle w:val="Liste1"/>
              <w:rPr>
                <w:sz w:val="22"/>
                <w:szCs w:val="22"/>
              </w:rPr>
            </w:pPr>
            <w:r>
              <w:rPr>
                <w:sz w:val="22"/>
                <w:szCs w:val="22"/>
              </w:rPr>
              <w:t>Positivanteil aller Testungen sollte idealerweise &lt;5% liegen</w:t>
            </w:r>
          </w:p>
          <w:p>
            <w:pPr>
              <w:pStyle w:val="Liste1"/>
              <w:rPr>
                <w:sz w:val="22"/>
                <w:szCs w:val="22"/>
              </w:rPr>
            </w:pPr>
            <w:r>
              <w:rPr>
                <w:sz w:val="22"/>
                <w:szCs w:val="22"/>
              </w:rPr>
              <w:t>Aktuelle Testdaten DE KW3: 2,5 Mio. Tests, 32% Positivanteil</w:t>
            </w:r>
          </w:p>
          <w:p>
            <w:pPr>
              <w:pStyle w:val="Liste1"/>
              <w:rPr>
                <w:sz w:val="22"/>
                <w:szCs w:val="22"/>
              </w:rPr>
            </w:pPr>
            <w:r>
              <w:rPr>
                <w:sz w:val="22"/>
                <w:szCs w:val="22"/>
              </w:rPr>
              <w:lastRenderedPageBreak/>
              <w:t>Um 10% der Fälle nachweisen zu können bei Fallzahlen von 200-400.000 bräuchten wir 2-4 Mio. PCR-Tests</w:t>
            </w:r>
          </w:p>
          <w:p>
            <w:pPr>
              <w:pStyle w:val="Liste1"/>
              <w:rPr>
                <w:sz w:val="22"/>
                <w:szCs w:val="22"/>
              </w:rPr>
            </w:pPr>
            <w:r>
              <w:rPr>
                <w:sz w:val="22"/>
                <w:szCs w:val="22"/>
              </w:rPr>
              <w:t>Aus o.g. Gründen (Vollerfassung macht keinen Sinn und kann von GA nicht bewältigt werden) ist dies keine sinnvolle Lösung und auch technisch nicht machbar</w:t>
            </w:r>
          </w:p>
          <w:p>
            <w:pPr>
              <w:pStyle w:val="Liste1"/>
              <w:rPr>
                <w:sz w:val="22"/>
                <w:szCs w:val="22"/>
              </w:rPr>
            </w:pPr>
            <w:r>
              <w:rPr>
                <w:sz w:val="22"/>
                <w:szCs w:val="22"/>
              </w:rPr>
              <w:t>Technische Einschränkungen sollten nicht primär erwähnt werden, da sie zu einem Presse Shitstorm führen</w:t>
            </w:r>
          </w:p>
          <w:p>
            <w:pPr>
              <w:pStyle w:val="Liste1"/>
              <w:rPr>
                <w:sz w:val="22"/>
                <w:szCs w:val="22"/>
              </w:rPr>
            </w:pPr>
            <w:r>
              <w:rPr>
                <w:sz w:val="22"/>
                <w:szCs w:val="22"/>
              </w:rPr>
              <w:t xml:space="preserve">Argumentation: in einer solchen Situation ist zur Erfassung der Lage anderes Vorgehen notwendig, Prioritäten sind folgende </w:t>
            </w:r>
          </w:p>
          <w:p>
            <w:pPr>
              <w:pStyle w:val="Liste1"/>
              <w:numPr>
                <w:ilvl w:val="0"/>
                <w:numId w:val="8"/>
              </w:numPr>
              <w:rPr>
                <w:sz w:val="22"/>
                <w:szCs w:val="22"/>
              </w:rPr>
            </w:pPr>
            <w:r>
              <w:rPr>
                <w:sz w:val="22"/>
                <w:szCs w:val="22"/>
              </w:rPr>
              <w:t xml:space="preserve">Sachgerechte medizinische Versorgung von Kranken, hierzu PCR-Kapazitäten priorisieren </w:t>
            </w:r>
            <w:r>
              <w:rPr>
                <w:sz w:val="22"/>
                <w:szCs w:val="22"/>
              </w:rPr>
              <w:sym w:font="Wingdings" w:char="F0E0"/>
            </w:r>
            <w:r>
              <w:rPr>
                <w:sz w:val="22"/>
                <w:szCs w:val="22"/>
              </w:rPr>
              <w:t xml:space="preserve"> Diagnostik mit therapeutischen Konsequenzen</w:t>
            </w:r>
          </w:p>
          <w:p>
            <w:pPr>
              <w:pStyle w:val="Liste1"/>
              <w:numPr>
                <w:ilvl w:val="0"/>
                <w:numId w:val="8"/>
              </w:numPr>
              <w:rPr>
                <w:sz w:val="22"/>
                <w:szCs w:val="22"/>
              </w:rPr>
            </w:pPr>
            <w:r>
              <w:rPr>
                <w:sz w:val="22"/>
                <w:szCs w:val="22"/>
              </w:rPr>
              <w:t>Handlungsfähigkeit der GA bzgl. Maßnahmen bei speziellen Gruppen</w:t>
            </w:r>
          </w:p>
          <w:p>
            <w:pPr>
              <w:pStyle w:val="Liste1"/>
              <w:numPr>
                <w:ilvl w:val="0"/>
                <w:numId w:val="8"/>
              </w:numPr>
              <w:rPr>
                <w:sz w:val="22"/>
                <w:szCs w:val="22"/>
              </w:rPr>
            </w:pPr>
            <w:r>
              <w:rPr>
                <w:sz w:val="22"/>
                <w:szCs w:val="22"/>
              </w:rPr>
              <w:t>Messparameter zur Einschätzung der Lage auf Bevölkerungsebene: sind etabliert durch die Testzentren, unterstützt durch selbstverantwortliche Konsequenzen aus Testergebnis innerhalb der Bevölkerung</w:t>
            </w:r>
          </w:p>
          <w:p>
            <w:pPr>
              <w:pStyle w:val="Liste1"/>
              <w:rPr>
                <w:sz w:val="22"/>
                <w:szCs w:val="22"/>
              </w:rPr>
            </w:pPr>
            <w:r>
              <w:rPr>
                <w:sz w:val="22"/>
                <w:szCs w:val="22"/>
              </w:rPr>
              <w:t>Vollerfassung weder sinnvoll noch möglich, Anspruch auf Containment wird aufgegeben (bis auf spezielle Gruppen)</w:t>
            </w:r>
          </w:p>
          <w:bookmarkEnd w:id="0"/>
          <w:p>
            <w:pPr>
              <w:pStyle w:val="Liste1"/>
              <w:numPr>
                <w:ilvl w:val="0"/>
                <w:numId w:val="0"/>
              </w:numPr>
              <w:ind w:left="473" w:hanging="360"/>
              <w:rPr>
                <w:sz w:val="22"/>
                <w:szCs w:val="22"/>
              </w:rPr>
            </w:pPr>
          </w:p>
        </w:tc>
      </w:tr>
      <w:tr>
        <w:tc>
          <w:tcPr>
            <w:tcW w:w="684" w:type="dxa"/>
          </w:tcPr>
          <w:p>
            <w:pPr>
              <w:jc w:val="center"/>
              <w:rPr>
                <w:b/>
                <w:sz w:val="22"/>
                <w:szCs w:val="22"/>
              </w:rPr>
            </w:pPr>
            <w:r>
              <w:rPr>
                <w:b/>
                <w:sz w:val="22"/>
                <w:szCs w:val="22"/>
              </w:rPr>
              <w:lastRenderedPageBreak/>
              <w:t>6</w:t>
            </w:r>
          </w:p>
        </w:tc>
        <w:tc>
          <w:tcPr>
            <w:tcW w:w="7675" w:type="dxa"/>
          </w:tcPr>
          <w:p>
            <w:pPr>
              <w:pStyle w:val="2"/>
            </w:pPr>
            <w:r>
              <w:t>Nationale Teststrategie, auf die laufende Omikron-Welle fokussiert</w:t>
            </w:r>
          </w:p>
          <w:p>
            <w:pPr>
              <w:pStyle w:val="Liste1"/>
              <w:rPr>
                <w:sz w:val="22"/>
                <w:szCs w:val="22"/>
              </w:rPr>
            </w:pPr>
            <w:r>
              <w:rPr>
                <w:sz w:val="22"/>
                <w:szCs w:val="22"/>
              </w:rPr>
              <w:t>Wurde bereits von Martin Mielke bearbeitet und Kontakt mit BMG läuft</w:t>
            </w:r>
          </w:p>
          <w:p>
            <w:pPr>
              <w:pStyle w:val="Liste1"/>
              <w:rPr>
                <w:sz w:val="22"/>
                <w:szCs w:val="22"/>
              </w:rPr>
            </w:pPr>
            <w:r>
              <w:rPr>
                <w:sz w:val="22"/>
                <w:szCs w:val="22"/>
              </w:rPr>
              <w:t>Testung vorrangig zur medizinischen Abklärung</w:t>
            </w:r>
          </w:p>
          <w:p>
            <w:pPr>
              <w:pStyle w:val="Liste1"/>
              <w:rPr>
                <w:sz w:val="22"/>
                <w:szCs w:val="22"/>
              </w:rPr>
            </w:pPr>
            <w:r>
              <w:rPr>
                <w:sz w:val="22"/>
                <w:szCs w:val="22"/>
              </w:rPr>
              <w:t>Priorität, vulnerable Population zu schützen, vorrangig mit PCR, Ag-Testung auch akzeptiert</w:t>
            </w:r>
          </w:p>
          <w:p>
            <w:pPr>
              <w:pStyle w:val="Liste1"/>
              <w:rPr>
                <w:sz w:val="22"/>
                <w:szCs w:val="22"/>
              </w:rPr>
            </w:pPr>
            <w:r>
              <w:rPr>
                <w:sz w:val="22"/>
                <w:szCs w:val="22"/>
              </w:rPr>
              <w:t>Isolierung nach nachgewiesener Infektion kann durch zertifizierten Ag-Test nach 7 Tagen beendet werden, wenn 48h symptomfrei</w:t>
            </w:r>
          </w:p>
          <w:p>
            <w:pPr>
              <w:pStyle w:val="Liste1"/>
              <w:rPr>
                <w:sz w:val="22"/>
                <w:szCs w:val="22"/>
              </w:rPr>
            </w:pPr>
            <w:r>
              <w:rPr>
                <w:sz w:val="22"/>
                <w:szCs w:val="22"/>
              </w:rPr>
              <w:t>RKI Aufgabe ist die fachliche Fundierung der Empfehlungen</w:t>
            </w:r>
          </w:p>
          <w:p>
            <w:pPr>
              <w:pStyle w:val="Liste1"/>
              <w:rPr>
                <w:sz w:val="22"/>
                <w:szCs w:val="22"/>
              </w:rPr>
            </w:pPr>
            <w:r>
              <w:rPr>
                <w:sz w:val="22"/>
                <w:szCs w:val="22"/>
              </w:rPr>
              <w:t>Nationale Teststrategie hat Finanzierungskonsequenzen</w:t>
            </w:r>
          </w:p>
          <w:p>
            <w:pPr>
              <w:pStyle w:val="Liste1"/>
              <w:rPr>
                <w:sz w:val="22"/>
                <w:szCs w:val="22"/>
              </w:rPr>
            </w:pPr>
            <w:r>
              <w:rPr>
                <w:sz w:val="22"/>
                <w:szCs w:val="22"/>
              </w:rPr>
              <w:t>Dieser Teil kommt nicht in heutigen Bericht ans BMG, da es bereits läuft</w:t>
            </w:r>
          </w:p>
          <w:p>
            <w:pPr>
              <w:pStyle w:val="Liste1"/>
              <w:rPr>
                <w:sz w:val="22"/>
                <w:szCs w:val="22"/>
              </w:rPr>
            </w:pPr>
            <w:r>
              <w:rPr>
                <w:sz w:val="22"/>
                <w:szCs w:val="22"/>
              </w:rPr>
              <w:t>Konkret erwähnen und Verweis auf Emailverkehr mit RKI</w:t>
            </w:r>
          </w:p>
          <w:p>
            <w:pPr>
              <w:pStyle w:val="Liste1"/>
              <w:rPr>
                <w:sz w:val="22"/>
                <w:szCs w:val="22"/>
              </w:rPr>
            </w:pPr>
            <w:r>
              <w:rPr>
                <w:sz w:val="22"/>
                <w:szCs w:val="22"/>
              </w:rPr>
              <w:t xml:space="preserve">Priorisierung Diagnostik symptomatisch erkrankter Personen bleibt erhalten so lange es geht, BMG (Referatsebene) war hiermit einverstanden </w:t>
            </w:r>
          </w:p>
          <w:p>
            <w:pPr>
              <w:pStyle w:val="Liste1"/>
              <w:numPr>
                <w:ilvl w:val="0"/>
                <w:numId w:val="0"/>
              </w:numPr>
              <w:ind w:left="113"/>
              <w:rPr>
                <w:sz w:val="22"/>
                <w:szCs w:val="22"/>
              </w:rPr>
            </w:pPr>
          </w:p>
        </w:tc>
      </w:tr>
      <w:tr>
        <w:tc>
          <w:tcPr>
            <w:tcW w:w="684" w:type="dxa"/>
          </w:tcPr>
          <w:p>
            <w:pPr>
              <w:jc w:val="center"/>
              <w:rPr>
                <w:b/>
                <w:sz w:val="22"/>
                <w:szCs w:val="22"/>
              </w:rPr>
            </w:pPr>
            <w:r>
              <w:rPr>
                <w:b/>
                <w:sz w:val="22"/>
                <w:szCs w:val="22"/>
              </w:rPr>
              <w:t>7</w:t>
            </w:r>
          </w:p>
        </w:tc>
        <w:tc>
          <w:tcPr>
            <w:tcW w:w="7675" w:type="dxa"/>
          </w:tcPr>
          <w:p>
            <w:pPr>
              <w:pStyle w:val="2"/>
              <w:rPr>
                <w:sz w:val="22"/>
                <w:szCs w:val="22"/>
              </w:rPr>
            </w:pPr>
            <w:r>
              <w:t>AOB</w:t>
            </w:r>
          </w:p>
          <w:p>
            <w:pPr>
              <w:pStyle w:val="Liste1"/>
              <w:rPr>
                <w:sz w:val="22"/>
                <w:szCs w:val="22"/>
              </w:rPr>
            </w:pPr>
            <w:r>
              <w:rPr>
                <w:sz w:val="22"/>
                <w:szCs w:val="22"/>
              </w:rPr>
              <w:t xml:space="preserve">Ute Rexroth hat die Dokumente mit den Notizen verschickt, sie sind auch im Krisenstabsordner </w:t>
            </w:r>
            <w:bookmarkStart w:id="1" w:name="_GoBack"/>
            <w:bookmarkEnd w:id="1"/>
            <w:r>
              <w:rPr>
                <w:sz w:val="22"/>
                <w:szCs w:val="22"/>
              </w:rPr>
              <w:t>abgelegt</w:t>
            </w:r>
          </w:p>
          <w:p>
            <w:pPr>
              <w:pStyle w:val="Liste1"/>
              <w:rPr>
                <w:sz w:val="22"/>
                <w:szCs w:val="22"/>
              </w:rPr>
            </w:pPr>
            <w:proofErr w:type="spellStart"/>
            <w:r>
              <w:rPr>
                <w:sz w:val="22"/>
                <w:szCs w:val="22"/>
              </w:rPr>
              <w:t>Entisolierungspapier</w:t>
            </w:r>
            <w:proofErr w:type="spellEnd"/>
            <w:r>
              <w:rPr>
                <w:sz w:val="22"/>
                <w:szCs w:val="22"/>
              </w:rPr>
              <w:t xml:space="preserve"> KKH bleibt unangetastet!</w:t>
            </w:r>
          </w:p>
          <w:p>
            <w:pPr>
              <w:pStyle w:val="Liste1"/>
              <w:rPr>
                <w:sz w:val="22"/>
                <w:szCs w:val="22"/>
              </w:rPr>
            </w:pPr>
            <w:r>
              <w:rPr>
                <w:sz w:val="22"/>
                <w:szCs w:val="22"/>
              </w:rPr>
              <w:t>Info von Claudia Schulz-Weidhaas: PCR-Tests sind nicht das Kapazitätsproblem in Krankenhäusern</w:t>
            </w:r>
          </w:p>
        </w:tc>
      </w:tr>
    </w:tbl>
    <w:p>
      <w:pPr>
        <w:rPr>
          <w:b/>
        </w:rPr>
      </w:pPr>
    </w:p>
    <w:p>
      <w:pPr>
        <w:rPr>
          <w:b/>
        </w:rPr>
      </w:pPr>
      <w:r>
        <w:rPr>
          <w:b/>
        </w:rPr>
        <w:t>Ende: 11:40</w:t>
      </w:r>
    </w:p>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pPr>
      <w:pStyle w:val="Fuzeile"/>
      <w:ind w:right="360"/>
      <w:rPr>
        <w:i/>
        <w:color w:val="7F7F7F" w:themeColor="text1" w:themeTint="80"/>
      </w:rPr>
    </w:pPr>
    <w:r>
      <w:rPr>
        <w:i/>
        <w:color w:val="7F7F7F" w:themeColor="text1" w:themeTint="80"/>
      </w:rPr>
      <w:tab/>
    </w:r>
    <w:r>
      <w:rPr>
        <w:i/>
        <w:color w:val="7F7F7F" w:themeColor="text1" w:themeTint="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jc w:val="center"/>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2"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4F0D"/>
    <w:multiLevelType w:val="hybridMultilevel"/>
    <w:tmpl w:val="B61E1526"/>
    <w:lvl w:ilvl="0" w:tplc="0407000F">
      <w:start w:val="1"/>
      <w:numFmt w:val="decimal"/>
      <w:lvlText w:val="%1."/>
      <w:lvlJc w:val="left"/>
      <w:pPr>
        <w:ind w:left="833" w:hanging="360"/>
      </w:pPr>
      <w:rPr>
        <w:rFonts w:hint="default"/>
      </w:rPr>
    </w:lvl>
    <w:lvl w:ilvl="1" w:tplc="3EEEC43C">
      <w:start w:val="1"/>
      <w:numFmt w:val="bullet"/>
      <w:lvlText w:val=""/>
      <w:lvlJc w:val="left"/>
      <w:pPr>
        <w:ind w:left="1553" w:hanging="360"/>
      </w:pPr>
      <w:rPr>
        <w:rFonts w:ascii="Wingdings" w:hAnsi="Wingdings"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0812AE"/>
    <w:multiLevelType w:val="hybridMultilevel"/>
    <w:tmpl w:val="E9564C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AC5A26"/>
    <w:multiLevelType w:val="hybridMultilevel"/>
    <w:tmpl w:val="FB0EEB7A"/>
    <w:lvl w:ilvl="0" w:tplc="EB4451E8">
      <w:start w:val="1"/>
      <w:numFmt w:val="bullet"/>
      <w:pStyle w:val="Liste1"/>
      <w:lvlText w:val=""/>
      <w:lvlJc w:val="left"/>
      <w:pPr>
        <w:ind w:left="473" w:hanging="360"/>
      </w:pPr>
      <w:rPr>
        <w:rFonts w:ascii="Symbol" w:hAnsi="Symbol" w:hint="default"/>
      </w:rPr>
    </w:lvl>
    <w:lvl w:ilvl="1" w:tplc="3EEEC43C">
      <w:start w:val="1"/>
      <w:numFmt w:val="bullet"/>
      <w:pStyle w:val="Liste3"/>
      <w:lvlText w:val=""/>
      <w:lvlJc w:val="left"/>
      <w:pPr>
        <w:ind w:left="1193" w:hanging="360"/>
      </w:pPr>
      <w:rPr>
        <w:rFonts w:ascii="Wingdings" w:hAnsi="Wingdings"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4" w15:restartNumberingAfterBreak="0">
    <w:nsid w:val="2B397807"/>
    <w:multiLevelType w:val="hybridMultilevel"/>
    <w:tmpl w:val="4DC03620"/>
    <w:lvl w:ilvl="0" w:tplc="D49CFACC">
      <w:start w:val="1"/>
      <w:numFmt w:val="bullet"/>
      <w:pStyle w:val="3"/>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E8C6729E">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48AB08AF"/>
    <w:multiLevelType w:val="hybridMultilevel"/>
    <w:tmpl w:val="E306E462"/>
    <w:lvl w:ilvl="0" w:tplc="171CDC86">
      <w:start w:val="1"/>
      <w:numFmt w:val="bullet"/>
      <w:pStyle w:val="Liste2"/>
      <w:lvlText w:val="o"/>
      <w:lvlJc w:val="left"/>
      <w:pPr>
        <w:ind w:left="833" w:hanging="360"/>
      </w:pPr>
      <w:rPr>
        <w:rFonts w:ascii="Courier New" w:hAnsi="Courier New" w:cs="Courier New" w:hint="default"/>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5125F-A5B2-40F7-922C-5386D7C0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40" w:lineRule="auto"/>
    </w:pPr>
    <w:rPr>
      <w:sz w:val="24"/>
      <w:szCs w:val="24"/>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rPr>
      <w:sz w:val="24"/>
      <w:szCs w:val="24"/>
    </w:rPr>
  </w:style>
  <w:style w:type="paragraph" w:styleId="Listenabsatz">
    <w:name w:val="List Paragraph"/>
    <w:basedOn w:val="Standard"/>
    <w:link w:val="ListenabsatzZchn"/>
    <w:uiPriority w:val="34"/>
    <w:qFormat/>
    <w:pPr>
      <w:ind w:left="720"/>
      <w:contextualSpacing/>
    </w:p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enabsatzZchn">
    <w:name w:val="Listenabsatz Zchn"/>
    <w:basedOn w:val="Absatz-Standardschriftart"/>
    <w:link w:val="Listenabsatz"/>
    <w:uiPriority w:val="34"/>
    <w:rPr>
      <w:sz w:val="24"/>
      <w:szCs w:val="24"/>
    </w:rPr>
  </w:style>
  <w:style w:type="character" w:customStyle="1" w:styleId="highlight">
    <w:name w:val="highlight"/>
    <w:basedOn w:val="Absatz-Standardschriftart"/>
  </w:style>
  <w:style w:type="paragraph" w:customStyle="1" w:styleId="1">
    <w:name w:val="Ü1"/>
    <w:basedOn w:val="Standard"/>
    <w:link w:val="1Zchn"/>
    <w:qFormat/>
    <w:pPr>
      <w:spacing w:after="120" w:line="276" w:lineRule="auto"/>
    </w:pPr>
    <w:rPr>
      <w:b/>
      <w:sz w:val="28"/>
    </w:rPr>
  </w:style>
  <w:style w:type="paragraph" w:customStyle="1" w:styleId="2">
    <w:name w:val="Ü2"/>
    <w:basedOn w:val="Standard"/>
    <w:link w:val="2Zchn"/>
    <w:qFormat/>
    <w:pPr>
      <w:spacing w:before="120" w:after="120" w:line="276" w:lineRule="auto"/>
    </w:pPr>
    <w:rPr>
      <w:b/>
    </w:rPr>
  </w:style>
  <w:style w:type="character" w:customStyle="1" w:styleId="1Zchn">
    <w:name w:val="Ü1 Zchn"/>
    <w:basedOn w:val="Absatz-Standardschriftart"/>
    <w:link w:val="1"/>
    <w:rPr>
      <w:b/>
      <w:sz w:val="28"/>
      <w:szCs w:val="24"/>
    </w:rPr>
  </w:style>
  <w:style w:type="paragraph" w:customStyle="1" w:styleId="3">
    <w:name w:val="Ü3"/>
    <w:basedOn w:val="Listenabsatz"/>
    <w:link w:val="3Zchn"/>
    <w:qFormat/>
    <w:pPr>
      <w:numPr>
        <w:numId w:val="4"/>
      </w:numPr>
      <w:spacing w:before="120" w:after="0"/>
    </w:pPr>
    <w:rPr>
      <w:b/>
      <w:sz w:val="22"/>
      <w:szCs w:val="22"/>
    </w:rPr>
  </w:style>
  <w:style w:type="character" w:customStyle="1" w:styleId="2Zchn">
    <w:name w:val="Ü2 Zchn"/>
    <w:basedOn w:val="Absatz-Standardschriftart"/>
    <w:link w:val="2"/>
    <w:rPr>
      <w:b/>
      <w:sz w:val="24"/>
      <w:szCs w:val="24"/>
    </w:rPr>
  </w:style>
  <w:style w:type="paragraph" w:customStyle="1" w:styleId="Liste1">
    <w:name w:val="Liste1"/>
    <w:basedOn w:val="Listenabsatz"/>
    <w:link w:val="Liste1Zchn"/>
    <w:qFormat/>
    <w:pPr>
      <w:numPr>
        <w:numId w:val="5"/>
      </w:numPr>
      <w:spacing w:after="0"/>
    </w:pPr>
  </w:style>
  <w:style w:type="character" w:customStyle="1" w:styleId="3Zchn">
    <w:name w:val="Ü3 Zchn"/>
    <w:basedOn w:val="Absatz-Standardschriftart"/>
    <w:link w:val="3"/>
    <w:rPr>
      <w:b/>
    </w:rPr>
  </w:style>
  <w:style w:type="paragraph" w:customStyle="1" w:styleId="Liste2">
    <w:name w:val="Liste2"/>
    <w:basedOn w:val="Listenabsatz"/>
    <w:link w:val="Liste2Zchn"/>
    <w:qFormat/>
    <w:pPr>
      <w:numPr>
        <w:numId w:val="6"/>
      </w:numPr>
      <w:spacing w:after="0"/>
    </w:pPr>
    <w:rPr>
      <w:sz w:val="22"/>
      <w:lang w:val="en-GB"/>
    </w:rPr>
  </w:style>
  <w:style w:type="character" w:customStyle="1" w:styleId="Liste1Zchn">
    <w:name w:val="Liste1 Zchn"/>
    <w:basedOn w:val="ListenabsatzZchn"/>
    <w:link w:val="Liste1"/>
    <w:rPr>
      <w:sz w:val="24"/>
      <w:szCs w:val="24"/>
    </w:rPr>
  </w:style>
  <w:style w:type="paragraph" w:customStyle="1" w:styleId="Liste3">
    <w:name w:val="Liste3"/>
    <w:basedOn w:val="Listenabsatz"/>
    <w:link w:val="Liste3Zchn"/>
    <w:qFormat/>
    <w:pPr>
      <w:numPr>
        <w:ilvl w:val="1"/>
        <w:numId w:val="5"/>
      </w:numPr>
      <w:spacing w:after="0"/>
    </w:pPr>
  </w:style>
  <w:style w:type="character" w:customStyle="1" w:styleId="Liste2Zchn">
    <w:name w:val="Liste2 Zchn"/>
    <w:basedOn w:val="ListenabsatzZchn"/>
    <w:link w:val="Liste2"/>
    <w:rPr>
      <w:sz w:val="24"/>
      <w:szCs w:val="24"/>
      <w:lang w:val="en-GB"/>
    </w:rPr>
  </w:style>
  <w:style w:type="paragraph" w:customStyle="1" w:styleId="TagFr">
    <w:name w:val="Tag_Fr"/>
    <w:basedOn w:val="Standard"/>
    <w:link w:val="TagFrZchn"/>
    <w:qFormat/>
    <w:pPr>
      <w:spacing w:after="120" w:line="276" w:lineRule="auto"/>
    </w:pPr>
    <w:rPr>
      <w:b/>
      <w:i/>
      <w:color w:val="8DB3E2" w:themeColor="text2" w:themeTint="66"/>
      <w:sz w:val="22"/>
      <w:szCs w:val="22"/>
    </w:rPr>
  </w:style>
  <w:style w:type="character" w:customStyle="1" w:styleId="Liste3Zchn">
    <w:name w:val="Liste3 Zchn"/>
    <w:basedOn w:val="ListenabsatzZchn"/>
    <w:link w:val="Liste3"/>
    <w:rPr>
      <w:sz w:val="24"/>
      <w:szCs w:val="24"/>
    </w:rPr>
  </w:style>
  <w:style w:type="paragraph" w:customStyle="1" w:styleId="TagMi">
    <w:name w:val="Tag_Mi"/>
    <w:basedOn w:val="Standard"/>
    <w:link w:val="TagMiZchn"/>
    <w:qFormat/>
    <w:pPr>
      <w:spacing w:after="0"/>
      <w:ind w:left="113"/>
    </w:pPr>
    <w:rPr>
      <w:b/>
      <w:i/>
      <w:color w:val="D99594" w:themeColor="accent2" w:themeTint="99"/>
    </w:rPr>
  </w:style>
  <w:style w:type="character" w:customStyle="1" w:styleId="TagFrZchn">
    <w:name w:val="Tag_Fr Zchn"/>
    <w:basedOn w:val="Absatz-Standardschriftart"/>
    <w:link w:val="TagFr"/>
    <w:rPr>
      <w:b/>
      <w:i/>
      <w:color w:val="8DB3E2" w:themeColor="text2" w:themeTint="66"/>
    </w:rPr>
  </w:style>
  <w:style w:type="paragraph" w:customStyle="1" w:styleId="TagMo">
    <w:name w:val="Tag_Mo"/>
    <w:basedOn w:val="Standard"/>
    <w:link w:val="TagMoZchn"/>
    <w:qFormat/>
    <w:pPr>
      <w:spacing w:after="0" w:line="276" w:lineRule="auto"/>
    </w:pPr>
    <w:rPr>
      <w:b/>
      <w:i/>
      <w:color w:val="C2D69B" w:themeColor="accent3" w:themeTint="99"/>
    </w:rPr>
  </w:style>
  <w:style w:type="character" w:customStyle="1" w:styleId="TagMiZchn">
    <w:name w:val="Tag_Mi Zchn"/>
    <w:basedOn w:val="ListenabsatzZchn"/>
    <w:link w:val="TagMi"/>
    <w:rPr>
      <w:b/>
      <w:i/>
      <w:color w:val="D99594" w:themeColor="accent2" w:themeTint="99"/>
      <w:sz w:val="24"/>
      <w:szCs w:val="24"/>
    </w:rPr>
  </w:style>
  <w:style w:type="character" w:customStyle="1" w:styleId="TagMoZchn">
    <w:name w:val="Tag_Mo Zchn"/>
    <w:basedOn w:val="Absatz-Standardschriftart"/>
    <w:link w:val="TagMo"/>
    <w:rPr>
      <w:b/>
      <w:i/>
      <w:color w:val="C2D69B" w:themeColor="accent3" w:themeTint="99"/>
      <w:sz w:val="24"/>
      <w:szCs w:val="24"/>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Cs w:val="21"/>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3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S:\Wissdaten\RKI_nCoV-Lage\1.Lagemanagement\1.3.Besprechungen_TKs\1.Lage_AG\2022-01-26_Lage-AG\Fachliche-Vorgaben-RKI-Genesenennachweis_Vorschlag_2022-01-2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Wissdaten\RKI_nCoV-Lage\1.Lagemanagement\1.3.Besprechungen_TKs\1.Lage_AG\2022-01-26_Lage-AG\Rahmenempfehlung%20f&#252;r%20Kontaktnachverfolgung_ub-Kommentare-RKI_2022-01-2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S:\Wissdaten\RKI_nCoV-Lage\1.Lagemanagement\1.3.Besprechungen_TKs\1.Lage_AG\2022-01-26_Lage-AG\Quarant&#228;ne-Isolation-MPK_Vorschlag_Sondertreffen-2022-01-26.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11FCF3A453441791353EB6235E4CA6"/>
        <w:category>
          <w:name w:val="Allgemein"/>
          <w:gallery w:val="placeholder"/>
        </w:category>
        <w:types>
          <w:type w:val="bbPlcHdr"/>
        </w:types>
        <w:behaviors>
          <w:behavior w:val="content"/>
        </w:behaviors>
        <w:guid w:val="{323F18E1-FE9A-4040-BF70-75FA355916EE}"/>
      </w:docPartPr>
      <w:docPartBody>
        <w:p>
          <w:pPr>
            <w:pStyle w:val="8511FCF3A453441791353EB6235E4CA6"/>
          </w:pPr>
          <w:r>
            <w:rPr>
              <w:rStyle w:val="Platzhaltertext"/>
            </w:rPr>
            <w:t>Klicken Sie hier, um Text einzugeben.</w:t>
          </w:r>
        </w:p>
      </w:docPartBody>
    </w:docPart>
    <w:docPart>
      <w:docPartPr>
        <w:name w:val="94321D63DDA94110A797A040366269A4"/>
        <w:category>
          <w:name w:val="Allgemein"/>
          <w:gallery w:val="placeholder"/>
        </w:category>
        <w:types>
          <w:type w:val="bbPlcHdr"/>
        </w:types>
        <w:behaviors>
          <w:behavior w:val="content"/>
        </w:behaviors>
        <w:guid w:val="{4B75CFD5-BED6-4761-868E-5AC458F4CBB4}"/>
      </w:docPartPr>
      <w:docPartBody>
        <w:p>
          <w:pPr>
            <w:pStyle w:val="94321D63DDA94110A797A040366269A4"/>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511FCF3A453441791353EB6235E4CA6">
    <w:name w:val="8511FCF3A453441791353EB6235E4CA6"/>
  </w:style>
  <w:style w:type="paragraph" w:customStyle="1" w:styleId="6B364AD14E454206886FC88B9E82BB82">
    <w:name w:val="6B364AD14E454206886FC88B9E82BB82"/>
  </w:style>
  <w:style w:type="paragraph" w:customStyle="1" w:styleId="94321D63DDA94110A797A040366269A4">
    <w:name w:val="94321D63DDA94110A797A04036626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8258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Halm, Ariane</dc:creator>
  <cp:keywords/>
  <dc:description/>
  <cp:lastModifiedBy>Rexroth, Ute</cp:lastModifiedBy>
  <cp:revision>8</cp:revision>
  <dcterms:created xsi:type="dcterms:W3CDTF">2022-01-26T07:58:00Z</dcterms:created>
  <dcterms:modified xsi:type="dcterms:W3CDTF">2022-01-26T15:59:00Z</dcterms:modified>
</cp:coreProperties>
</file>