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14.1.2022: Kürzungen im Text und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in der Risikoeinschätzung für die Bevölkerung 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Einerseits verbreitet sich die inzwischen dominante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deutlich schneller und effektiver als die bisherigen Virusvarianten, andererseits kam es jedoch bisher - und das ist eine neue Entwicklung in der COVID-19-Pandemie - nicht </w:t>
      </w:r>
      <w:ins w:id="0" w:author="Rexroth, Ute" w:date="2022-02-21T21:54:00Z">
        <w:r>
          <w:rPr>
            <w:rFonts w:ascii="Times New Roman" w:eastAsia="Times New Roman" w:hAnsi="Times New Roman" w:cs="Times New Roman"/>
            <w:sz w:val="24"/>
            <w:szCs w:val="24"/>
            <w:lang w:eastAsia="de-DE"/>
          </w:rPr>
          <w:t xml:space="preserve">in gleichem Verhältnis </w:t>
        </w:r>
      </w:ins>
      <w:r>
        <w:rPr>
          <w:rFonts w:ascii="Times New Roman" w:eastAsia="Times New Roman" w:hAnsi="Times New Roman" w:cs="Times New Roman"/>
          <w:sz w:val="24"/>
          <w:szCs w:val="24"/>
          <w:lang w:eastAsia="de-DE"/>
        </w:rPr>
        <w:t xml:space="preserve">zu einer </w:t>
      </w:r>
      <w:del w:id="1" w:author="Rexroth, Ute" w:date="2022-02-21T21:54:00Z">
        <w:r>
          <w:rPr>
            <w:rFonts w:ascii="Times New Roman" w:eastAsia="Times New Roman" w:hAnsi="Times New Roman" w:cs="Times New Roman"/>
            <w:sz w:val="24"/>
            <w:szCs w:val="24"/>
            <w:lang w:eastAsia="de-DE"/>
          </w:rPr>
          <w:delText>ähnlich starken</w:delText>
        </w:r>
      </w:del>
      <w:r>
        <w:rPr>
          <w:rFonts w:ascii="Times New Roman" w:eastAsia="Times New Roman" w:hAnsi="Times New Roman" w:cs="Times New Roman"/>
          <w:sz w:val="24"/>
          <w:szCs w:val="24"/>
          <w:lang w:eastAsia="de-DE"/>
        </w:rPr>
        <w:t xml:space="preserve"> Erhöhung schwerer Erkrankungen und Todesfälle wie in den vorherigen Infektionswellen.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Fallzahlen sind derzeit in allen Altersgruppen sehr hoch. Die Zahl schwerer Erkrankungen an COVID-19, die im Krankenhaus behandelt werden müssen und die Zahl der Todesfälle steigen nicht in vergleichbarem Maße an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Omikron breitet sich derzeit in der Gesamtbevölkerung aus. 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 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t>
      </w:r>
      <w:r>
        <w:rPr>
          <w:rFonts w:ascii="Times New Roman" w:eastAsia="Times New Roman" w:hAnsi="Times New Roman" w:cs="Times New Roman"/>
          <w:sz w:val="24"/>
          <w:szCs w:val="24"/>
          <w:lang w:eastAsia="de-DE"/>
        </w:rPr>
        <w:lastRenderedPageBreak/>
        <w:t>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G</w:t>
      </w:r>
      <w:r>
        <w:rPr>
          <w:rFonts w:ascii="Times New Roman" w:eastAsia="Times New Roman" w:hAnsi="Times New Roman" w:cs="Times New Roman"/>
          <w:b/>
          <w:bCs/>
          <w:sz w:val="24"/>
          <w:szCs w:val="24"/>
          <w:lang w:eastAsia="de-DE"/>
        </w:rPr>
        <w:t>rößere Veranstaltungen und enge Kontaktsituationen, z.B. Tanzveranstaltungen und andere Feiern im öffentlichen und privaten Bereich tragen zur raschen Weiterverbreitung von SARS-CoV-2 bei und sollten daher vermieden werden</w:t>
      </w:r>
      <w:r>
        <w:rPr>
          <w:rFonts w:ascii="Times New Roman" w:eastAsia="Times New Roman" w:hAnsi="Times New Roman" w:cs="Times New Roman"/>
          <w:sz w:val="24"/>
          <w:szCs w:val="24"/>
          <w:lang w:eastAsia="de-DE"/>
        </w:rPr>
        <w:t>. Insbesondere vor Kontakt zu besonders gefährdeten Personen sollte ein vollständiger Impfschutz vorliegen und zusätzlich direkt vor dem Kontakt ein Test durchgeführt werden. Bei einer Warnung durch die Corona-Warn-App sollten die eigenen Kontakte</w:t>
      </w:r>
      <w:del w:id="2" w:author="Rexroth, Ute" w:date="2022-02-21T21:54: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auftretenden Atemwegserkrankung wie z.B. Schnupfen, Halsschmerzen oder Husten (unabhängig vom Impfstatus) zuhause zu bleiben </w:t>
      </w:r>
      <w:r>
        <w:rPr>
          <w:rFonts w:ascii="Times New Roman" w:eastAsia="Times New Roman" w:hAnsi="Times New Roman" w:cs="Times New Roman"/>
          <w:sz w:val="24"/>
          <w:szCs w:val="24"/>
          <w:lang w:eastAsia="de-DE"/>
        </w:rPr>
        <w:t>und bei Bedarf die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durch die in Deutschland </w:t>
      </w:r>
      <w:ins w:id="3" w:author="Rexroth, Ute" w:date="2022-02-21T21:54:00Z">
        <w:r>
          <w:rPr>
            <w:rFonts w:ascii="Times New Roman" w:eastAsia="Times New Roman" w:hAnsi="Times New Roman" w:cs="Times New Roman"/>
            <w:sz w:val="24"/>
            <w:szCs w:val="24"/>
            <w:lang w:eastAsia="de-DE"/>
          </w:rPr>
          <w:t xml:space="preserve">bisher </w:t>
        </w:r>
      </w:ins>
      <w:r>
        <w:rPr>
          <w:rFonts w:ascii="Times New Roman" w:eastAsia="Times New Roman" w:hAnsi="Times New Roman" w:cs="Times New Roman"/>
          <w:sz w:val="24"/>
          <w:szCs w:val="24"/>
          <w:lang w:eastAsia="de-DE"/>
        </w:rPr>
        <w:t xml:space="preserve">vorherrschende </w:t>
      </w:r>
      <w:proofErr w:type="spellStart"/>
      <w:r>
        <w:rPr>
          <w:rFonts w:ascii="Times New Roman" w:eastAsia="Times New Roman" w:hAnsi="Times New Roman" w:cs="Times New Roman"/>
          <w:sz w:val="24"/>
          <w:szCs w:val="24"/>
          <w:lang w:eastAsia="de-DE"/>
        </w:rPr>
        <w:t>Omikronvariante</w:t>
      </w:r>
      <w:proofErr w:type="spellEnd"/>
      <w:ins w:id="4" w:author="Rexroth, Ute" w:date="2022-02-21T21:54:00Z">
        <w:r>
          <w:rPr>
            <w:rFonts w:ascii="Times New Roman" w:eastAsia="Times New Roman" w:hAnsi="Times New Roman" w:cs="Times New Roman"/>
            <w:sz w:val="24"/>
            <w:szCs w:val="24"/>
            <w:lang w:eastAsia="de-DE"/>
          </w:rPr>
          <w:t xml:space="preserve"> BA.1</w:t>
        </w:r>
      </w:ins>
      <w:r>
        <w:rPr>
          <w:rFonts w:ascii="Times New Roman" w:eastAsia="Times New Roman" w:hAnsi="Times New Roman" w:cs="Times New Roman"/>
          <w:sz w:val="24"/>
          <w:szCs w:val="24"/>
          <w:lang w:eastAsia="de-DE"/>
        </w:rPr>
        <w:t xml:space="preserve"> verursachte Erkrankung geht im Vergleich mit Infektionen durch die Deltavariante mit einem geringeren Hospitalisierungsrisiko einher, auch das Risiko, an einer SARS-CoV-2-Infektion zu versterben ist deutlich geringer als bei der Deltavariante. </w:t>
      </w:r>
      <w:del w:id="5" w:author="Rexroth, Ute" w:date="2022-02-21T21:54:00Z">
        <w:r>
          <w:rPr>
            <w:rFonts w:ascii="Times New Roman" w:eastAsia="Times New Roman" w:hAnsi="Times New Roman" w:cs="Times New Roman"/>
            <w:sz w:val="24"/>
            <w:szCs w:val="24"/>
            <w:lang w:eastAsia="de-DE"/>
          </w:rPr>
          <w:delText xml:space="preserve">Aber </w:delText>
        </w:r>
      </w:del>
      <w:commentRangeStart w:id="6"/>
      <w:ins w:id="7" w:author="Rexroth, Ute" w:date="2022-02-21T21:54:00Z">
        <w:r>
          <w:rPr>
            <w:rFonts w:ascii="Times New Roman" w:eastAsia="Times New Roman" w:hAnsi="Times New Roman" w:cs="Times New Roman"/>
            <w:sz w:val="24"/>
            <w:szCs w:val="24"/>
            <w:lang w:eastAsia="de-DE"/>
          </w:rPr>
          <w:t xml:space="preserve">Es liegen </w:t>
        </w:r>
        <w:r>
          <w:t xml:space="preserve">international </w:t>
        </w:r>
        <w:r>
          <w:rPr>
            <w:rFonts w:ascii="Times New Roman" w:eastAsia="Times New Roman" w:hAnsi="Times New Roman" w:cs="Times New Roman"/>
            <w:sz w:val="24"/>
            <w:szCs w:val="24"/>
            <w:lang w:eastAsia="de-DE"/>
          </w:rPr>
          <w:t>noch nicht ausreichend Daten vor, um die Eigenschaften der Omikron-</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hinsichtlich der Krankheitsschwere </w:t>
        </w:r>
        <w:proofErr w:type="spellStart"/>
        <w:r>
          <w:rPr>
            <w:rFonts w:ascii="Times New Roman" w:eastAsia="Times New Roman" w:hAnsi="Times New Roman" w:cs="Times New Roman"/>
            <w:sz w:val="24"/>
            <w:szCs w:val="24"/>
            <w:lang w:eastAsia="de-DE"/>
          </w:rPr>
          <w:t>abschliessend</w:t>
        </w:r>
        <w:proofErr w:type="spellEnd"/>
        <w:r>
          <w:rPr>
            <w:rFonts w:ascii="Times New Roman" w:eastAsia="Times New Roman" w:hAnsi="Times New Roman" w:cs="Times New Roman"/>
            <w:sz w:val="24"/>
            <w:szCs w:val="24"/>
            <w:lang w:eastAsia="de-DE"/>
          </w:rPr>
          <w:t xml:space="preserve"> zu beurteilen. </w:t>
        </w:r>
        <w:commentRangeEnd w:id="6"/>
        <w:r>
          <w:rPr>
            <w:rStyle w:val="Kommentarzeichen"/>
          </w:rPr>
          <w:commentReference w:id="6"/>
        </w:r>
        <w:r>
          <w:rPr>
            <w:rFonts w:ascii="Times New Roman" w:eastAsia="Times New Roman" w:hAnsi="Times New Roman" w:cs="Times New Roman"/>
            <w:sz w:val="24"/>
            <w:szCs w:val="24"/>
            <w:lang w:eastAsia="de-DE"/>
          </w:rPr>
          <w:t xml:space="preserve">Generell können </w:t>
        </w:r>
      </w:ins>
      <w:r>
        <w:rPr>
          <w:rFonts w:ascii="Times New Roman" w:eastAsia="Times New Roman" w:hAnsi="Times New Roman" w:cs="Times New Roman"/>
          <w:sz w:val="24"/>
          <w:szCs w:val="24"/>
          <w:lang w:eastAsia="de-DE"/>
        </w:rPr>
        <w:t xml:space="preserve">auch bei Erkrankungen durch die </w:t>
      </w:r>
      <w:del w:id="9" w:author="Rexroth, Ute" w:date="2022-02-21T21:54:00Z">
        <w:r>
          <w:rPr>
            <w:rFonts w:ascii="Times New Roman" w:eastAsia="Times New Roman" w:hAnsi="Times New Roman" w:cs="Times New Roman"/>
            <w:sz w:val="24"/>
            <w:szCs w:val="24"/>
            <w:lang w:eastAsia="de-DE"/>
          </w:rPr>
          <w:delText xml:space="preserve">Omikron Variante können </w:delText>
        </w:r>
      </w:del>
      <w:proofErr w:type="spellStart"/>
      <w:ins w:id="10" w:author="Rexroth, Ute" w:date="2022-02-21T21:54:00Z">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schwerwiegende </w:t>
      </w:r>
      <w:del w:id="11" w:author="Rexroth, Ute" w:date="2022-02-21T21:54:00Z">
        <w:r>
          <w:rPr>
            <w:rFonts w:ascii="Times New Roman" w:eastAsia="Times New Roman" w:hAnsi="Times New Roman" w:cs="Times New Roman"/>
            <w:sz w:val="24"/>
            <w:szCs w:val="24"/>
            <w:lang w:eastAsia="de-DE"/>
          </w:rPr>
          <w:delText>Krankheistsymptome</w:delText>
        </w:r>
      </w:del>
      <w:ins w:id="12" w:author="Rexroth, Ute" w:date="2022-02-21T21:54:00Z">
        <w:r>
          <w:rPr>
            <w:rFonts w:ascii="Times New Roman" w:eastAsia="Times New Roman" w:hAnsi="Times New Roman" w:cs="Times New Roman"/>
            <w:sz w:val="24"/>
            <w:szCs w:val="24"/>
            <w:lang w:eastAsia="de-DE"/>
          </w:rPr>
          <w:t>Krankheitssymptome</w:t>
        </w:r>
      </w:ins>
      <w:r>
        <w:rPr>
          <w:rFonts w:ascii="Times New Roman" w:eastAsia="Times New Roman" w:hAnsi="Times New Roman" w:cs="Times New Roman"/>
          <w:sz w:val="24"/>
          <w:szCs w:val="24"/>
          <w:lang w:eastAsia="de-DE"/>
        </w:rPr>
        <w:t xml:space="preserve">, wie z. B. hohes Fieber auftreten. Die Wahrscheinlichkeit für schwere und auch tödliche Krankheitsverläufe steigt mit zunehmendem Alter und bei bestehenden Vorerkrankungen. Es kann jedoch auch ohne bekannte Vorerkrankungen und bei junge </w:t>
      </w:r>
      <w:proofErr w:type="gramStart"/>
      <w:r>
        <w:rPr>
          <w:rFonts w:ascii="Times New Roman" w:eastAsia="Times New Roman" w:hAnsi="Times New Roman" w:cs="Times New Roman"/>
          <w:sz w:val="24"/>
          <w:szCs w:val="24"/>
          <w:lang w:eastAsia="de-DE"/>
        </w:rPr>
        <w:t>Erwachsene  und</w:t>
      </w:r>
      <w:proofErr w:type="gramEnd"/>
      <w:r>
        <w:rPr>
          <w:rFonts w:ascii="Times New Roman" w:eastAsia="Times New Roman" w:hAnsi="Times New Roman" w:cs="Times New Roman"/>
          <w:sz w:val="24"/>
          <w:szCs w:val="24"/>
          <w:lang w:eastAsia="de-DE"/>
        </w:rPr>
        <w:t xml:space="preserve">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erste Therapieansätze haben sich hier in klinischen Studien als wirksam erwiesen. Langzeitfolgen können auch nach leichten Verläufen auftreten.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lastRenderedPageBreak/>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erreichen teils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insbesondere Isolation Erkrankter),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 Die aktuell vom RKI empfohlene Strategie ist unter </w:t>
      </w:r>
      <w:hyperlink r:id="rId7"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3"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3" w:author="Rexroth, Ute" w:date="2022-02-21T21:54:00Z">
        <w:r>
          <w:rPr>
            <w:rFonts w:ascii="Times New Roman" w:eastAsia="Times New Roman" w:hAnsi="Times New Roman" w:cs="Times New Roman"/>
            <w:sz w:val="24"/>
            <w:szCs w:val="24"/>
            <w:lang w:eastAsia="de-DE"/>
          </w:rPr>
          <w:delText>14</w:delText>
        </w:r>
      </w:del>
      <w:ins w:id="14" w:author="Rexroth, Ute" w:date="2022-02-21T21:54:00Z">
        <w:r>
          <w:rPr>
            <w:rFonts w:ascii="Times New Roman" w:eastAsia="Times New Roman" w:hAnsi="Times New Roman" w:cs="Times New Roman"/>
            <w:sz w:val="24"/>
            <w:szCs w:val="24"/>
            <w:lang w:eastAsia="de-DE"/>
          </w:rPr>
          <w:t>21</w:t>
        </w:r>
      </w:ins>
      <w:r>
        <w:rPr>
          <w:rFonts w:ascii="Times New Roman" w:eastAsia="Times New Roman" w:hAnsi="Times New Roman" w:cs="Times New Roman"/>
          <w:sz w:val="24"/>
          <w:szCs w:val="24"/>
          <w:lang w:eastAsia="de-DE"/>
        </w:rPr>
        <w:t>.02.2022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4"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exroth, Ute" w:date="2022-02-21T21:53:00Z" w:initials="RU">
    <w:p>
      <w:pPr>
        <w:pStyle w:val="Kommentartext"/>
        <w:rPr>
          <w:rFonts w:ascii="Times New Roman" w:eastAsia="Times New Roman" w:hAnsi="Times New Roman" w:cs="Times New Roman"/>
          <w:sz w:val="24"/>
          <w:szCs w:val="24"/>
          <w:lang w:eastAsia="de-DE"/>
        </w:rPr>
      </w:pPr>
      <w:r>
        <w:rPr>
          <w:rStyle w:val="Kommentarzeichen"/>
        </w:rPr>
        <w:annotationRef/>
      </w:r>
      <w:r>
        <w:rPr>
          <w:rFonts w:ascii="Times New Roman" w:eastAsia="Times New Roman" w:hAnsi="Times New Roman" w:cs="Times New Roman"/>
          <w:sz w:val="24"/>
          <w:szCs w:val="24"/>
          <w:lang w:eastAsia="de-DE"/>
        </w:rPr>
        <w:t xml:space="preserve">Die Risikobewertung soll möglichst prägnant sein. Nicht </w:t>
      </w:r>
      <w:proofErr w:type="spellStart"/>
      <w:r>
        <w:rPr>
          <w:rFonts w:ascii="Times New Roman" w:eastAsia="Times New Roman" w:hAnsi="Times New Roman" w:cs="Times New Roman"/>
          <w:sz w:val="24"/>
          <w:szCs w:val="24"/>
          <w:lang w:eastAsia="de-DE"/>
        </w:rPr>
        <w:t>valisierte</w:t>
      </w:r>
      <w:proofErr w:type="spellEnd"/>
      <w:r>
        <w:rPr>
          <w:rFonts w:ascii="Times New Roman" w:eastAsia="Times New Roman" w:hAnsi="Times New Roman" w:cs="Times New Roman"/>
          <w:sz w:val="24"/>
          <w:szCs w:val="24"/>
          <w:lang w:eastAsia="de-DE"/>
        </w:rPr>
        <w:t xml:space="preserve"> tierexperimentelle Studienergebnisse auszuführen, erscheint eher unpassend. Mögliche (aber nicht favorisierte) Ergänzung hinsichtlich B2, falls Ausführung aus BMG-Sicht </w:t>
      </w:r>
      <w:bookmarkStart w:id="8" w:name="_GoBack"/>
      <w:bookmarkEnd w:id="8"/>
      <w:r>
        <w:rPr>
          <w:rFonts w:ascii="Times New Roman" w:eastAsia="Times New Roman" w:hAnsi="Times New Roman" w:cs="Times New Roman"/>
          <w:sz w:val="24"/>
          <w:szCs w:val="24"/>
          <w:lang w:eastAsia="de-DE"/>
        </w:rPr>
        <w:t xml:space="preserve">unbedingt erforderlich: </w:t>
      </w:r>
    </w:p>
    <w:p>
      <w:pPr>
        <w:pStyle w:val="Kommentartext"/>
        <w:rPr>
          <w:rFonts w:ascii="Times New Roman" w:eastAsia="Times New Roman" w:hAnsi="Times New Roman" w:cs="Times New Roman"/>
          <w:sz w:val="24"/>
          <w:szCs w:val="24"/>
          <w:lang w:eastAsia="de-DE"/>
        </w:rPr>
      </w:pPr>
    </w:p>
    <w:p>
      <w:pPr>
        <w:pStyle w:val="Kommentartext"/>
      </w:pP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In Qatar beobachtete man eine leicht erhöhte Hospitalisierungsinzidenzen bei BA.2-Infizierten. In den Hospitalisierungsdaten (und zum Teil ICU-Daten) aus Südafrika zeigen sich jedoch keine Hinweise darauf, dass BA.2 mit erheblich höherer Krankheitsschwere einhergeht als BA.1. Erste Befunde aus tierexperimentellen Studien an immunologisch naiven Hamstern, die auf eine bei BA.2 erhöhte Krankheitsschwere hindeuten, sollten in klinischen Untersuchungen weiter evaluiert werden.</w:t>
      </w:r>
      <w:r>
        <w:rPr>
          <w:rFonts w:ascii="Times New Roman" w:eastAsia="Times New Roman" w:hAnsi="Times New Roman" w:cs="Times New Roman"/>
          <w:sz w:val="24"/>
          <w:szCs w:val="24"/>
          <w:lang w:eastAsia="de-DE"/>
        </w:rP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4B0A1F850F7D4F5804BDEFB74442E7EE.internet081?nn=13490888" TargetMode="External"/><Relationship Id="rId13" Type="http://schemas.openxmlformats.org/officeDocument/2006/relationships/hyperlink" Target="https://www.rki.de/DE/Content/InfAZ/N/Neuartiges_Coronavirus/Situationsberichte/Gesamt.html" TargetMode="External"/><Relationship Id="rId3" Type="http://schemas.openxmlformats.org/officeDocument/2006/relationships/styles" Target="styles.xml"/><Relationship Id="rId7" Type="http://schemas.openxmlformats.org/officeDocument/2006/relationships/hyperlink" Target="https://www.rki.de/DE/Content/InfAZ/N/Neuartiges_Coronavirus/ZS/Pandemieplan_Strategien.html;jsessionid=4B0A1F850F7D4F5804BDEFB74442E7EE.internet081?nn=13490888" TargetMode="External"/><Relationship Id="rId12" Type="http://schemas.openxmlformats.org/officeDocument/2006/relationships/hyperlink" Target="https://corona.rki.d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rki.de/DE/Content/InfAZ/N/Neuartiges_Coronavirus/Steckbrief.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ki.de/DE/Content/InfAZ/N/Neuartiges_Coronavirus/ZS/Pandemieplan_Strategien.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nCoV.html" TargetMode="External"/><Relationship Id="rId14" Type="http://schemas.openxmlformats.org/officeDocument/2006/relationships/hyperlink" Target="https://www.rki.de/DE/Content/InfAZ/N/Neuartiges_Coronavirus/Risikobewertung.html;jsessionid=4B0A1F850F7D4F5804BDEFB74442E7EE.internet081?nn=134908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331F2-39E6-4C8D-AD97-203CB719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9716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2022-02-21T20:53:00Z</dcterms:created>
  <dcterms:modified xsi:type="dcterms:W3CDTF">2022-02-21T20:58:00Z</dcterms:modified>
</cp:coreProperties>
</file>