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t>
      </w:r>
      <w:r>
        <w:rPr>
          <w:rFonts w:ascii="Times New Roman" w:eastAsia="Times New Roman" w:hAnsi="Times New Roman" w:cs="Times New Roman"/>
          <w:sz w:val="24"/>
          <w:szCs w:val="24"/>
          <w:lang w:eastAsia="de-DE"/>
        </w:rPr>
        <w:lastRenderedPageBreak/>
        <w:t>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versterben ist deutlich geringer als bei der Deltavariante. </w:t>
      </w:r>
      <w:commentRangeStart w:id="0"/>
      <w:r>
        <w:rPr>
          <w:rFonts w:ascii="Times New Roman" w:eastAsia="Times New Roman" w:hAnsi="Times New Roman" w:cs="Times New Roman"/>
          <w:sz w:val="24"/>
          <w:szCs w:val="24"/>
          <w:lang w:eastAsia="de-DE"/>
        </w:rPr>
        <w:t xml:space="preserve">Es liegen </w:t>
      </w:r>
      <w:r>
        <w:t xml:space="preserve">international </w:t>
      </w:r>
      <w:r>
        <w:rPr>
          <w:rFonts w:ascii="Times New Roman" w:eastAsia="Times New Roman" w:hAnsi="Times New Roman" w:cs="Times New Roman"/>
          <w:sz w:val="24"/>
          <w:szCs w:val="24"/>
          <w:lang w:eastAsia="de-DE"/>
        </w:rPr>
        <w:t>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w:t>
      </w:r>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zu beurteilen. </w:t>
      </w:r>
      <w:commentRangeEnd w:id="0"/>
      <w:r>
        <w:rPr>
          <w:rStyle w:val="Kommentarzeichen"/>
        </w:rPr>
        <w:commentReference w:id="0"/>
      </w:r>
      <w:r>
        <w:rPr>
          <w:rFonts w:ascii="Times New Roman" w:eastAsia="Times New Roman" w:hAnsi="Times New Roman" w:cs="Times New Roman"/>
          <w:sz w:val="24"/>
          <w:szCs w:val="24"/>
          <w:lang w:eastAsia="de-DE"/>
        </w:rPr>
        <w:t xml:space="preserve">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21.02.2022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2-21T21:53:00Z" w:initials="RU">
    <w:p>
      <w:pPr>
        <w:pStyle w:val="Kommentartext"/>
      </w:pPr>
      <w:r>
        <w:rPr>
          <w:rStyle w:val="Kommentarzeichen"/>
        </w:rPr>
        <w:annotationRef/>
      </w:r>
      <w:r>
        <w:rPr>
          <w:rFonts w:ascii="Times New Roman" w:eastAsia="Times New Roman" w:hAnsi="Times New Roman" w:cs="Times New Roman"/>
          <w:sz w:val="24"/>
          <w:szCs w:val="24"/>
          <w:lang w:eastAsia="de-DE"/>
        </w:rPr>
        <w:t>In Qatar beobachtete man eine leicht erhöhte Hospitalisierungsinzidenzen bei BA.2-Infizierten. In den Hospitalisierungsdaten (und zum Teil ICU-Daten) aus Südafrika zeigen sich jedoch keine Hinweise darauf, dass BA.2 mit erheblich höherer Krankheitsschwere einhergeht als BA.1. Erste Befunde aus tierexperimentellen Studien an immunologisch naiven Hamstern, die auf eine bei BA.2 erhöhte Krankheitsschwere hindeuten, sollten in klinischen Untersuchungen weiter evaluiert werden.</w:t>
      </w:r>
      <w:bookmarkStart w:id="1" w:name="_GoBack"/>
      <w:bookmarkEnd w:id="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37C8-A587-4383-BC32-F8A3F00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9660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2022-02-21T20:53:00Z</dcterms:created>
  <dcterms:modified xsi:type="dcterms:W3CDTF">2022-02-21T20:53:00Z</dcterms:modified>
</cp:coreProperties>
</file>