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25.02.2022: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UKRAINE – Unterstützungsanfrage durch </w:t>
            </w: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mechanism</w:t>
            </w:r>
            <w:proofErr w:type="spellEnd"/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Hanefeld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Version 2.18 der CWA: So werden die G-Regeln jetzt abgebildet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Science-Blog: Wie viele Menschen nutzen die CWA "aktiv"?</w:t>
            </w:r>
          </w:p>
        </w:tc>
        <w:tc>
          <w:tcPr>
            <w:tcW w:w="1809" w:type="dxa"/>
          </w:tcPr>
          <w:p/>
          <w:p>
            <w:r>
              <w:t>Benzler</w:t>
            </w:r>
          </w:p>
          <w:p/>
          <w:p>
            <w:r>
              <w:t>Kirchner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Umgang mit Entscheidung des BMG, dass nicht deeskaliert werden soll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lastRenderedPageBreak/>
              <w:t>Weiteres Vorgehen Testzahlerfassung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Anliegen AGI: Diskrepant Isolationszeit </w:t>
            </w:r>
            <w:proofErr w:type="gramStart"/>
            <w:r>
              <w:t>Beschäftigte  und</w:t>
            </w:r>
            <w:proofErr w:type="gramEnd"/>
            <w:r>
              <w:t xml:space="preserve"> Bewohner*innen/Patienten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Erlass: Evaluation von Testungen in Einrichtungen als Vorbereitung auf den Herbst 2022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lastRenderedPageBreak/>
              <w:t>AL3</w:t>
            </w:r>
          </w:p>
          <w:p>
            <w:r>
              <w:t>FG 38</w:t>
            </w:r>
          </w:p>
          <w:p/>
          <w:p>
            <w:r>
              <w:t>FG37 Eckmanns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Internationale Kommunikation Fälle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28.02.2022,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14</cp:revision>
  <cp:lastPrinted>2020-03-13T12:00:00Z</cp:lastPrinted>
  <dcterms:created xsi:type="dcterms:W3CDTF">2022-02-23T08:10:00Z</dcterms:created>
  <dcterms:modified xsi:type="dcterms:W3CDTF">2022-02-25T10:15:00Z</dcterms:modified>
</cp:coreProperties>
</file>