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Scala OT" w:hAnsi="Scala OT"/>
        </w:rPr>
      </w:pPr>
      <w:r>
        <w:rPr>
          <w:rFonts w:ascii="Scala OT" w:hAnsi="Scala OT"/>
        </w:rPr>
        <w:t>L/L1 Mehlitz, Hanke</w:t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  <w:t>Stand: 16.03.2022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</w:rPr>
      </w:pPr>
    </w:p>
    <w:p>
      <w:pPr>
        <w:rPr>
          <w:rFonts w:ascii="Scala OT" w:hAnsi="Scala OT"/>
        </w:rPr>
      </w:pPr>
      <w:r>
        <w:rPr>
          <w:rFonts w:ascii="Scala OT" w:hAnsi="Scala OT"/>
          <w:b/>
        </w:rPr>
        <w:t xml:space="preserve">Übersicht über die wesentlichen anstehenden Änderungen ab dem 20.03.2022 im IfSG und der </w:t>
      </w:r>
      <w:proofErr w:type="spellStart"/>
      <w:r>
        <w:rPr>
          <w:rFonts w:ascii="Scala OT" w:hAnsi="Scala OT"/>
          <w:b/>
        </w:rPr>
        <w:t>SchAusnahmV</w:t>
      </w:r>
      <w:proofErr w:type="spellEnd"/>
      <w:r>
        <w:rPr>
          <w:rFonts w:ascii="Scala OT" w:hAnsi="Scala OT"/>
          <w:b/>
        </w:rPr>
        <w:t>/</w:t>
      </w:r>
      <w:proofErr w:type="spellStart"/>
      <w:r>
        <w:rPr>
          <w:rFonts w:ascii="Scala OT" w:hAnsi="Scala OT"/>
          <w:b/>
        </w:rPr>
        <w:t>EinreiseV</w:t>
      </w:r>
      <w:proofErr w:type="spellEnd"/>
      <w:r>
        <w:rPr>
          <w:rFonts w:ascii="Scala OT" w:hAnsi="Scala OT"/>
          <w:b/>
        </w:rPr>
        <w:t xml:space="preserve"> (Bezug: BT-</w:t>
      </w:r>
      <w:proofErr w:type="spellStart"/>
      <w:r>
        <w:rPr>
          <w:rFonts w:ascii="Scala OT" w:hAnsi="Scala OT"/>
          <w:b/>
        </w:rPr>
        <w:t>Drs</w:t>
      </w:r>
      <w:proofErr w:type="spellEnd"/>
      <w:r>
        <w:rPr>
          <w:rFonts w:ascii="Scala OT" w:hAnsi="Scala OT"/>
          <w:b/>
        </w:rPr>
        <w:t xml:space="preserve">. 20/958; </w:t>
      </w:r>
      <w:proofErr w:type="spellStart"/>
      <w:r>
        <w:rPr>
          <w:rFonts w:ascii="Scala OT" w:hAnsi="Scala OT"/>
          <w:b/>
        </w:rPr>
        <w:t>Ref</w:t>
      </w:r>
      <w:proofErr w:type="spellEnd"/>
      <w:r>
        <w:rPr>
          <w:rFonts w:ascii="Scala OT" w:hAnsi="Scala OT"/>
          <w:b/>
        </w:rPr>
        <w:t xml:space="preserve">-E 2. </w:t>
      </w:r>
      <w:proofErr w:type="spellStart"/>
      <w:r>
        <w:rPr>
          <w:rFonts w:ascii="Scala OT" w:hAnsi="Scala OT"/>
          <w:b/>
        </w:rPr>
        <w:t>ÄndV</w:t>
      </w:r>
      <w:proofErr w:type="spellEnd"/>
      <w:r>
        <w:rPr>
          <w:rFonts w:ascii="Scala OT" w:hAnsi="Scala OT"/>
          <w:b/>
        </w:rPr>
        <w:t xml:space="preserve"> </w:t>
      </w:r>
      <w:proofErr w:type="spellStart"/>
      <w:r>
        <w:rPr>
          <w:rFonts w:ascii="Scala OT" w:hAnsi="Scala OT"/>
          <w:b/>
        </w:rPr>
        <w:t>SchAusnahmV</w:t>
      </w:r>
      <w:proofErr w:type="spellEnd"/>
      <w:r>
        <w:rPr>
          <w:rFonts w:ascii="Scala OT" w:hAnsi="Scala OT"/>
          <w:b/>
        </w:rPr>
        <w:t xml:space="preserve"> Stand 03.03.2022) 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</w:rPr>
      </w:pPr>
    </w:p>
    <w:p>
      <w:pPr>
        <w:rPr>
          <w:rFonts w:ascii="Scala OT" w:hAnsi="Scala OT"/>
        </w:rPr>
      </w:pPr>
      <w:r>
        <w:rPr>
          <w:rFonts w:ascii="Scala OT" w:hAnsi="Scala OT"/>
        </w:rPr>
        <w:t>Vorbemerkung: Auswertung auf dem Stand vom 16.03.2022, beschränkt auf die wesentlichen Änderungen; falls sich nachträglich noch Änderungen ergeben sollten, muss diese Auswertung ggf. noch aktualisiert werden.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 xml:space="preserve">1. § 20a IfSG, § 72 SGB XI: Einrichtungsbezogenes </w:t>
      </w:r>
      <w:proofErr w:type="spellStart"/>
      <w:r>
        <w:rPr>
          <w:rFonts w:ascii="Scala OT" w:hAnsi="Scala OT"/>
          <w:u w:val="single"/>
        </w:rPr>
        <w:t>Impfquotenmonitoring</w:t>
      </w:r>
      <w:proofErr w:type="spellEnd"/>
      <w:r>
        <w:rPr>
          <w:rFonts w:ascii="Scala OT" w:hAnsi="Scala OT"/>
          <w:u w:val="single"/>
        </w:rPr>
        <w:t xml:space="preserve"> (neue Aufgabe für das RKI)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Verpflichtung für bestimmte voll- und teilstationären Einrichtungen </w:t>
      </w:r>
      <w:r>
        <w:rPr>
          <w:rFonts w:ascii="Scala OT" w:hAnsi="Scala OT"/>
          <w:i/>
        </w:rPr>
        <w:t>(voll- oder teilstationäre Einrichtungen zur Betreuung und Unterbringung älterer, behinderter oder pflegebedürftiger Menschen oder vergleichbare Einrichtungen, die zugelassene Pflegeeinrichtungen im Sinne von § 72 SGB XI sind)</w:t>
      </w:r>
      <w:r>
        <w:rPr>
          <w:rFonts w:ascii="Scala OT" w:hAnsi="Scala OT"/>
        </w:rPr>
        <w:t>, dem RKI monatlich Angaben zum Anteil der Personen, die gegen das Coronavirus SARS-CoV-2 geimpft sind, jeweils bezogen auf die Personen, die in der Einrichtung beschäftigt sind oder behandelt, betreut oder gepflegt werden oder untergebracht sind, in anonymisierter Form zu übermitteln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Verpflichtung des RKI, diese ihm übermittelten Daten zusammenzuführen und monatlich in anonymisierter Form dem BMG sowie den Ländern bezogen auf Länder- und Kreisebene zu übermitteln.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 xml:space="preserve">2. § 22, 22a IfSG: </w:t>
      </w:r>
      <w:proofErr w:type="spellStart"/>
      <w:r>
        <w:rPr>
          <w:rFonts w:ascii="Scala OT" w:hAnsi="Scala OT"/>
          <w:u w:val="single"/>
        </w:rPr>
        <w:t>SchAusnahmV</w:t>
      </w:r>
      <w:proofErr w:type="spellEnd"/>
      <w:r>
        <w:rPr>
          <w:rFonts w:ascii="Scala OT" w:hAnsi="Scala OT"/>
          <w:u w:val="single"/>
        </w:rPr>
        <w:t>/</w:t>
      </w:r>
      <w:proofErr w:type="spellStart"/>
      <w:r>
        <w:rPr>
          <w:rFonts w:ascii="Scala OT" w:hAnsi="Scala OT"/>
          <w:u w:val="single"/>
        </w:rPr>
        <w:t>EinreiseV</w:t>
      </w:r>
      <w:proofErr w:type="spellEnd"/>
      <w:r>
        <w:rPr>
          <w:rFonts w:ascii="Scala OT" w:hAnsi="Scala OT"/>
          <w:u w:val="single"/>
        </w:rPr>
        <w:t>: Impf-, Genesenen-, Testnachweise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Regelung der Anforderungen an Impf-, Genesenen- und Testnachweise direkt im IfSG, hierzu flankierende Anpassungen </w:t>
      </w:r>
      <w:proofErr w:type="spellStart"/>
      <w:r>
        <w:rPr>
          <w:rFonts w:ascii="Scala OT" w:hAnsi="Scala OT"/>
        </w:rPr>
        <w:t>SchAusnahmV</w:t>
      </w:r>
      <w:proofErr w:type="spellEnd"/>
      <w:r>
        <w:rPr>
          <w:rFonts w:ascii="Scala OT" w:hAnsi="Scala OT"/>
        </w:rPr>
        <w:t xml:space="preserve"> und </w:t>
      </w:r>
      <w:proofErr w:type="spellStart"/>
      <w:r>
        <w:rPr>
          <w:rFonts w:ascii="Scala OT" w:hAnsi="Scala OT"/>
        </w:rPr>
        <w:t>EinreiseV</w:t>
      </w:r>
      <w:proofErr w:type="spellEnd"/>
      <w:r>
        <w:rPr>
          <w:rFonts w:ascii="Scala OT" w:hAnsi="Scala OT"/>
        </w:rPr>
        <w:t>; Fortfall des Verweises auf die Webseite des RKI und PEI; im Einzelnen: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proofErr w:type="spellStart"/>
      <w:r>
        <w:rPr>
          <w:rFonts w:ascii="Scala OT" w:hAnsi="Scala OT"/>
        </w:rPr>
        <w:t>Genesenennachweis</w:t>
      </w:r>
      <w:proofErr w:type="spellEnd"/>
      <w:r>
        <w:rPr>
          <w:rFonts w:ascii="Scala OT" w:hAnsi="Scala OT"/>
        </w:rPr>
        <w:t xml:space="preserve">: künftig genügt ein Nachweis der Infektion durch (jeden) </w:t>
      </w:r>
      <w:r>
        <w:rPr>
          <w:rFonts w:ascii="Scala OT" w:hAnsi="Scala OT"/>
          <w:u w:val="single"/>
        </w:rPr>
        <w:t>direkten Erregernachweis</w:t>
      </w:r>
      <w:r>
        <w:rPr>
          <w:rFonts w:ascii="Scala OT" w:hAnsi="Scala OT"/>
        </w:rPr>
        <w:t xml:space="preserve"> (bisher: </w:t>
      </w:r>
      <w:proofErr w:type="spellStart"/>
      <w:r>
        <w:rPr>
          <w:rFonts w:ascii="Scala OT" w:hAnsi="Scala OT"/>
        </w:rPr>
        <w:t>Nukleinsäurenachweis</w:t>
      </w:r>
      <w:proofErr w:type="spellEnd"/>
      <w:r>
        <w:rPr>
          <w:rFonts w:ascii="Scala OT" w:hAnsi="Scala OT"/>
        </w:rPr>
        <w:t xml:space="preserve">); künftig muss die </w:t>
      </w:r>
      <w:r>
        <w:rPr>
          <w:rFonts w:ascii="Scala OT" w:hAnsi="Scala OT"/>
          <w:u w:val="single"/>
        </w:rPr>
        <w:t>Testung</w:t>
      </w:r>
      <w:r>
        <w:rPr>
          <w:rFonts w:ascii="Scala OT" w:hAnsi="Scala OT"/>
        </w:rPr>
        <w:t xml:space="preserve"> mindestens 28 und höchstes 90 Tage zurückliegen (bisher: Datum der Abnahme des positiven Tests)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Impfnachweis: z.T. unübersichtliche Regelungssystematik: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bis 30.09.2022: Personen mit zwei und drei Impfungen gelten als vollständig geimpft; mit einer Impfung nur bei Vorliegen weiterer Voraussetzungen (positiver Antikörpertest vor erster Impfung; Infektion mit SARS-CoV-2 nebst positivem </w:t>
      </w:r>
      <w:proofErr w:type="spellStart"/>
      <w:r>
        <w:rPr>
          <w:rFonts w:ascii="Scala OT" w:hAnsi="Scala OT"/>
        </w:rPr>
        <w:t>Nukleinsäurenachweis</w:t>
      </w:r>
      <w:proofErr w:type="spellEnd"/>
      <w:r>
        <w:rPr>
          <w:rFonts w:ascii="Scala OT" w:hAnsi="Scala OT"/>
        </w:rPr>
        <w:t xml:space="preserve"> vor der zweiten </w:t>
      </w:r>
      <w:r>
        <w:rPr>
          <w:rFonts w:ascii="Scala OT" w:hAnsi="Scala OT"/>
        </w:rPr>
        <w:lastRenderedPageBreak/>
        <w:t xml:space="preserve">Impfung; Infektion mit SARS-CoV-2 nach der zweiten Impfung nebst </w:t>
      </w:r>
      <w:proofErr w:type="spellStart"/>
      <w:r>
        <w:rPr>
          <w:rFonts w:ascii="Scala OT" w:hAnsi="Scala OT"/>
        </w:rPr>
        <w:t>Nukleinsäurenachweis</w:t>
      </w:r>
      <w:proofErr w:type="spellEnd"/>
      <w:r>
        <w:rPr>
          <w:rFonts w:ascii="Scala OT" w:hAnsi="Scala OT"/>
        </w:rPr>
        <w:t xml:space="preserve"> und 28 Tagen seit der Testung)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ab 01.10.2022: Personen mit drei Impfungen gelten als vollständig geimpft; mit zwei Impfungen nur bei Vorliegen weiterer Voraussetzungen (siehe zuvor); Personen mit nur einer Impfung gelten unter keinen Umständen als vollständig geimpft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Testnachweis: keine Änderung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Schaffung der (rechtlichen) Möglichkeit, unrichtig ausgestellte digitale Impf-, Genesenen- und Testnachzertifikate sperren zu können; Befugnis zur Anordnung der Sperrung liegt bei BPOL und den zur Gefahrenabwehr zuständigen Landesbehörden; RKI setzt Sperrung technisch durch Aufnahme in eine Zertifikatssperrliste um (neue Aufgabe für das RKI; an der technischen Umsetzung wird bereits gearbeitet)</w:t>
      </w:r>
      <w:r>
        <w:rPr>
          <w:rFonts w:ascii="Scala OT" w:hAnsi="Scala OT"/>
        </w:rPr>
        <w:br/>
      </w: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3. § 28a IfSG: Besondere Schutzmaßnahmen, die ab dem 20.03.2022 (noch) möglich sind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Die bisherigen Absätze 7 und 8 werden komplett neu gefasst, sodass die dort bislang genannten Maßnahmen insgesamt nicht mehr möglich sind, soweit sie nicht im Folgenden aufgeführt werden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Mögliche Maßnahmen in den Bundesländern (Regelung in Rechtsverordnungen der Bundesländer; Voraussetzung: zur Verhinderung der Verbreitung von COVID-19 erforderlich):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Verpflichtung zum Tragen einer Atemschutzmaske (FFP2 oder vergleichbar) oder einer medizinischen Gesichtsmaske (Mund-Nasen-Schutz) in: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Einrichtungen und Unternehmen nach § 23 Absatz 3 Satz 1 Nummer 1, 4 und 11 </w:t>
      </w:r>
      <w:r>
        <w:rPr>
          <w:rFonts w:ascii="Scala OT" w:hAnsi="Scala OT"/>
          <w:i/>
        </w:rPr>
        <w:t>(Krankenhäuser; Dialyseeinrichtungen; ambulante Pflegedienste, die ambulante Intensivpflege in Einrichtungen, Wohngruppen oder sonstigen gemeinschaftlichen Wohnformen erbringen)</w:t>
      </w:r>
      <w:r>
        <w:rPr>
          <w:rFonts w:ascii="Scala OT" w:hAnsi="Scala OT"/>
        </w:rPr>
        <w:t xml:space="preserve"> und § 36 Absatz 1 Nummer 2 und 7 </w:t>
      </w:r>
      <w:r>
        <w:rPr>
          <w:rFonts w:ascii="Scala OT" w:hAnsi="Scala OT"/>
          <w:i/>
        </w:rPr>
        <w:t xml:space="preserve">(nicht unter § 23 Absatz 5 Satz 1 fallende voll- oder teilstationäre Einrichtungen zur Betreuung und Unterbringung älterer, behinderter oder pflegebedürftiger Menschen oder vergleichbare Einrichtungen; nicht unter § 23 Absatz 5 Satz 1 fallende ambulante Pflegedienste und Unternehmen, die den Einrichtungen nach Nummer 2 vergleichbare Dienstleistungen anbieten), </w:t>
      </w:r>
      <w:r>
        <w:rPr>
          <w:rFonts w:ascii="Scala OT" w:hAnsi="Scala OT"/>
        </w:rPr>
        <w:t>soweit die Verpflichtung zur Abwendung einer Gefahr für Personen, die auf Grund ihres Alters oder ihres Gesundheitszustandes ein erhöhtes Risiko für einen schweren oder tödlichen Krankheitsverlauf von COVID-19 haben, erforderlich ist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Verkehrsmitteln des öffentlichen Personennahverkehrs für Fahrgäste sowie das Kontroll- und Servicepersonal und das Fahr- und Steuerpersonal, soweit für dieses tätigkeitsbedingt physischer Kontakt zu anderen Personen besteht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In Einrichtungen nach § 36 Absatz 1 Nr. 4 </w:t>
      </w:r>
      <w:r>
        <w:rPr>
          <w:rFonts w:ascii="Scala OT" w:hAnsi="Scala OT"/>
          <w:i/>
        </w:rPr>
        <w:t>(Einrichtungen zur gemeinschaftlichen Unterbringung von Asylbewerbern, vollziehbar Ausreisepflichtigen, Flüchtlingen und Spätaussiedlern)</w:t>
      </w:r>
      <w:r>
        <w:rPr>
          <w:rFonts w:ascii="Scala OT" w:hAnsi="Scala OT"/>
          <w:i/>
        </w:rPr>
        <w:br/>
      </w:r>
    </w:p>
    <w:p>
      <w:pPr>
        <w:rPr>
          <w:rFonts w:ascii="Scala OT" w:hAnsi="Scala OT"/>
        </w:rPr>
      </w:pPr>
      <w:r>
        <w:rPr>
          <w:rFonts w:ascii="Scala OT" w:hAnsi="Scala OT"/>
        </w:rPr>
        <w:br w:type="page"/>
      </w:r>
    </w:p>
    <w:p>
      <w:pPr>
        <w:pStyle w:val="Listenabsatz"/>
        <w:ind w:left="2160"/>
        <w:rPr>
          <w:rFonts w:ascii="Scala OT" w:hAnsi="Scala OT"/>
        </w:rPr>
      </w:pP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Verpflichtung zur Testung auf das Vorliegen einer Infektion mit</w:t>
      </w:r>
      <w:r>
        <w:t xml:space="preserve"> </w:t>
      </w:r>
      <w:r>
        <w:rPr>
          <w:rFonts w:ascii="Scala OT" w:hAnsi="Scala OT"/>
        </w:rPr>
        <w:t>SARS-CoV-2 in: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Einrichtungen und Unternehmen nach § 23 Absatz 3 Satz 1 Nummer 1 und 11 </w:t>
      </w:r>
      <w:r>
        <w:rPr>
          <w:rFonts w:ascii="Scala OT" w:hAnsi="Scala OT"/>
          <w:i/>
        </w:rPr>
        <w:t>(Krankenhäuser; ambulante Pflegedienste, die ambulante Intensivpflege in Einrichtungen, Wohngruppen oder sonstigen gemeinschaftlichen Wohnformen erbringen)</w:t>
      </w:r>
      <w:r>
        <w:rPr>
          <w:rFonts w:ascii="Scala OT" w:hAnsi="Scala OT"/>
        </w:rPr>
        <w:t xml:space="preserve"> sowie nach § 36 Absatz 1 Nummer 2, 4 und 7 </w:t>
      </w:r>
      <w:r>
        <w:rPr>
          <w:rFonts w:ascii="Scala OT" w:hAnsi="Scala OT"/>
          <w:i/>
        </w:rPr>
        <w:t>(nicht unter § 23 Absatz 5 Satz 1 fallende voll- oder teilstationäre Einrichtungen zur Betreuung und Unterbringung älterer, behinderter oder pflegebedürftiger Menschen oder vergleichbare Einrichtungen; Einrichtungen zur gemeinschaftlichen Unterbringung von Asylbewerbern, vollziehbar Ausreisepflichtigen, Flüchtlingen und Spätaussiedlern; nicht unter § 23 Absatz 5 Satz 1 fallende ambulante Pflegedienste und Unternehmen, die den Einrichtungen nach Nummer 2 vergleichbare Dienstleistungen anbieten)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Schulen, Kindertageseinrichtungen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Justizvollzugsanstalten, Abschiebungshafteinrichtungen, Maßregelvollzugseinrichtungen sowie andere Abteilungen oder Einrichtungen, wenn und soweit dort dauerhaft freiheitsentziehende Unterbringungen erfolgen, insbesondere psychiatrische Krankenhäuser, Heime der Jugendhilfe und für Senioren</w:t>
      </w:r>
      <w:r>
        <w:rPr>
          <w:rFonts w:ascii="Scala OT" w:hAnsi="Scala OT"/>
        </w:rPr>
        <w:br/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Individuelle Schutzmaßnahmen gegenüber Kranken, Krankheitsverdächtigen, Ansteckungsverdächtigen oder Ausscheidern nach § 28 Absatz 1 Satz 1 sowie die Schließung von Einrichtungen und Betrieben im Einzelfall nach § 28 Absatz 1 Satz 1 und 2 bleiben unberührt, d.h. sind weiterhin möglich; das betrifft insb. die (häusliche) Quarantäne.</w:t>
      </w:r>
      <w:r>
        <w:rPr>
          <w:rFonts w:ascii="Scala OT" w:hAnsi="Scala OT"/>
        </w:rPr>
        <w:br/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Mögliche weitere Maßnahmen in konkreten Gebietskörperschaften der jeweiligen Bundesländer (dies können Städte, Landkreise oder ganze Bundesländer sein; Regelung in Rechtsverordnungen der Bundesländer):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Voraussetzung: konkrete Gefahr einer sich dynamisch ausbreitenden Infektionslage durch eine epidemische Ausbreitung von COVID-19 in einer konkreten Gebietskörperschaft und Feststellung des Vorliegens der konkreten Gefahr und die Anwendung konkreter Maßnahmen in dieser Gebietskörperschaft durch das Landesparlament; diese konkrete Gefahr besteht (gesetzlich definiert) </w:t>
      </w:r>
      <w:r>
        <w:rPr>
          <w:rFonts w:ascii="Scala OT" w:hAnsi="Scala OT"/>
          <w:u w:val="single"/>
        </w:rPr>
        <w:t>nur</w:t>
      </w:r>
      <w:r>
        <w:rPr>
          <w:rFonts w:ascii="Scala OT" w:hAnsi="Scala OT"/>
        </w:rPr>
        <w:t xml:space="preserve"> dann, wenn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in der jeweiligen Gebietskörperschaft die Ausbreitung einer Virusvariante von SARS-CoV-2 festgestellt wird, die eine signifikant höhere Pathogenität aufweist (Anmerkung: ohne dass klar geregelt wäre, in Bezug worauf diese signifikant höher sein muss), oder</w:t>
      </w:r>
    </w:p>
    <w:p>
      <w:pPr>
        <w:pStyle w:val="Listenabsatz"/>
        <w:numPr>
          <w:ilvl w:val="2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aufgrund einer besonders hohen Anzahl von Neuinfektionen oder einem besonders starken Anstieg an Neuinfektionen eine Überlastung der Krankenhauskapazitäten in der jeweiligen Gebietskörperschaft droht</w:t>
      </w:r>
      <w:r>
        <w:rPr>
          <w:rFonts w:ascii="Scala OT" w:hAnsi="Scala OT"/>
        </w:rPr>
        <w:br/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die Verpflichtung zum Tragen einer Atemschutzmaske (FFP2 oder vergleichbar) oder einer medizinischen Gesichtsmaske (Mund-Nasen-Schutz),</w:t>
      </w:r>
      <w:bookmarkStart w:id="0" w:name="_GoBack"/>
      <w:bookmarkEnd w:id="0"/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lastRenderedPageBreak/>
        <w:t>die Anordnung eines Abstandsgebots mit einem Abstand von 1,5 Metern (Mindestabstand) im öffentlichen Raum, insbesondere in öffentlich zugänglichen Innenräumen,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die Verpflichtung zur Vorlage eines Impf-, Genesenen- oder Testnachweises nach § 22a Absatz 1 bis 3 einschließlich der Vorlage eines amtlichen Lichtbildausweises in Einrichtungen und Unternehmen nach 23 Absatz 3 Satz 1 </w:t>
      </w:r>
      <w:bookmarkStart w:id="1" w:name="_Hlk98267036"/>
      <w:r>
        <w:rPr>
          <w:rFonts w:ascii="Scala OT" w:hAnsi="Scala OT"/>
          <w:i/>
        </w:rPr>
        <w:t>(also Krankenhäuser, Arztpraxen usw.)</w:t>
      </w:r>
      <w:r>
        <w:rPr>
          <w:rFonts w:ascii="Scala OT" w:hAnsi="Scala OT"/>
        </w:rPr>
        <w:t xml:space="preserve"> </w:t>
      </w:r>
      <w:bookmarkEnd w:id="1"/>
      <w:r>
        <w:rPr>
          <w:rFonts w:ascii="Scala OT" w:hAnsi="Scala OT"/>
        </w:rPr>
        <w:t xml:space="preserve">und § 36 Absatz 1 </w:t>
      </w:r>
      <w:r>
        <w:rPr>
          <w:rFonts w:ascii="Scala OT" w:hAnsi="Scala OT"/>
          <w:i/>
        </w:rPr>
        <w:t>(also Gemeinschaftseinrichtungen)</w:t>
      </w:r>
      <w:r>
        <w:rPr>
          <w:rFonts w:ascii="Scala OT" w:hAnsi="Scala OT"/>
        </w:rPr>
        <w:t xml:space="preserve"> sowie in Betrieben, in Einrichtungen oder Angeboten mit Publikumsverkehr,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die Verpflichtung zur Erstellung und Anwendung von Hygienekonzepten, die die Bereitstellung von Desinfektionsmittel und die Vermeidung unnötiger Kontakte vorsehen können, für Einrichtungen im Sinne von § 23 Absatz 3 Satz 1 </w:t>
      </w:r>
      <w:r>
        <w:rPr>
          <w:rFonts w:ascii="Scala OT" w:hAnsi="Scala OT"/>
          <w:i/>
        </w:rPr>
        <w:t>(also Krankenhäuser, Arztpraxen usw.)</w:t>
      </w:r>
      <w:r>
        <w:rPr>
          <w:rFonts w:ascii="Scala OT" w:hAnsi="Scala OT"/>
        </w:rPr>
        <w:t xml:space="preserve"> und § 36 Absatz 1 </w:t>
      </w:r>
      <w:r>
        <w:rPr>
          <w:rFonts w:ascii="Scala OT" w:hAnsi="Scala OT"/>
          <w:i/>
        </w:rPr>
        <w:t>(also Gemeinschaftseinrichtungen)</w:t>
      </w:r>
      <w:r>
        <w:rPr>
          <w:rFonts w:ascii="Scala OT" w:hAnsi="Scala OT"/>
        </w:rPr>
        <w:t xml:space="preserve"> und für die in Absatz 1 Nummer 4 bis 8 und 10 bis 16 genannten Betriebe, Gewerbe, Einrichtungen, Angebote, Veranstaltungen, Reisen und Ausübungen </w:t>
      </w:r>
      <w:r>
        <w:rPr>
          <w:rFonts w:ascii="Scala OT" w:hAnsi="Scala OT"/>
          <w:i/>
        </w:rPr>
        <w:t>(Betriebe, Einrichtungen oder Angebote mit Publikumsverkehr; Freizeitveranstaltungen und ähnliche Veranstaltungen; Einrichtungen, die der Freizeitgestaltung zuzurechnen sind; Kulturveranstaltungen oder der Betrieb von Kultureinrichtungen; Sportveranstaltungen und Sportausübung; Reisen; Übernachtungsangebote; Betrieb von gastronomischen Einrichtungen; Betriebe, Gewerbe, Einzel- oder Großhandel; Einrichtungen des Gesundheits- oder Sozialwesens; Gemeinschaftseinrichtungen im Sinne von § 33, Hochschulen, außerschulische Einrichtungen der Erwachsenenbildung oder ähnliche Einrichtungen)</w:t>
      </w:r>
      <w:r>
        <w:rPr>
          <w:rFonts w:ascii="Scala OT" w:hAnsi="Scala OT"/>
          <w:i/>
        </w:rPr>
        <w:br/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Rechtsverordnungen nach beiden Absätzen müssen spätestens mit Ablauf des 23.09.2022 außer Kraft treten, Anordnungen spätestens zu diesem Termin aufgehoben werden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Am Stichtag 19.03.2022 geltende Rechtsverordnungen dürfen bis zum 02.04.2022 aufrechterhalten werden, soweit die dortigen Maßnahmen auch nach neuer Rechtslage (s.o.) notwendige Schutzmaßnahmen sein könnten (also zulässig wären)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4. § 28b: Bundesweit einheitliche Schutzmaßnahmen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Die bisherigen Abs. 1-4 werden aufgehoben, d.h. folgende Schutzmaßnahmen gelten </w:t>
      </w:r>
      <w:r>
        <w:rPr>
          <w:rFonts w:ascii="Scala OT" w:hAnsi="Scala OT"/>
          <w:u w:val="single"/>
        </w:rPr>
        <w:t>nicht</w:t>
      </w:r>
      <w:r>
        <w:rPr>
          <w:rFonts w:ascii="Scala OT" w:hAnsi="Scala OT"/>
        </w:rPr>
        <w:t xml:space="preserve"> mehr: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3G für Arbeitgeber und Beschäftigte bei Arbeitsstätten und beim Transport zu Arbeitsstätten (Abs. 1)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Testpflicht für Arbeitgeber, Beschäftigte und Besucher in Einrichtungen und Unternehmen nach § 23 Absatz 3 Satz 1 </w:t>
      </w:r>
      <w:r>
        <w:rPr>
          <w:rFonts w:ascii="Scala OT" w:hAnsi="Scala OT"/>
          <w:i/>
        </w:rPr>
        <w:t>(also Krankenhäuser, Arztpraxen usw.)</w:t>
      </w:r>
      <w:r>
        <w:rPr>
          <w:rFonts w:ascii="Scala OT" w:hAnsi="Scala OT"/>
        </w:rPr>
        <w:t xml:space="preserve"> sowie nach § 36 Absatz 1 Nummer 2 und 7 </w:t>
      </w:r>
      <w:r>
        <w:rPr>
          <w:rFonts w:ascii="Scala OT" w:hAnsi="Scala OT"/>
          <w:i/>
        </w:rPr>
        <w:t xml:space="preserve">(also nicht unter § 23 Absatz 5 Satz 1 fallende voll- oder teilstationäre Einrichtungen zur Betreuung und Unterbringung älterer, behinderter oder pflegebedürftiger Menschen oder vergleichbare Einrichtungen; nicht unter § 23 Absatz 5 Satz 1 fallende ambulante Pflegedienste und Unternehmen, die den Einrichtungen nach Nummer 2 vergleichbare Dienstleistungen anbieten) </w:t>
      </w:r>
      <w:r>
        <w:rPr>
          <w:rFonts w:ascii="Scala OT" w:hAnsi="Scala OT"/>
        </w:rPr>
        <w:t>(Abs. 2)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lastRenderedPageBreak/>
        <w:t>Verpflichtung zur Nachweiskontrolle für Arbeitgeber und die Leitungen der in Abs. 2 Satz 1 genannten Einrichtungen und Unternehmen, sowie korrespondiere Verpflichtung für Arbeitgeber, Beschäftigte und Besucher, den Nachweis auf Verlangen vorzulegen. (Abs. 3)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Befugnis des Arbeitgebers sowie der Leitung der in Abs. 2 Satz 1 genannten Einrichtungen und Unternehmen, zu dem Zweck der Nachweiskontrolle personenbezogene Daten einschließlich Daten zum Impf-, </w:t>
      </w:r>
      <w:proofErr w:type="spellStart"/>
      <w:r>
        <w:rPr>
          <w:rFonts w:ascii="Scala OT" w:hAnsi="Scala OT"/>
        </w:rPr>
        <w:t>Sero</w:t>
      </w:r>
      <w:proofErr w:type="spellEnd"/>
      <w:r>
        <w:rPr>
          <w:rFonts w:ascii="Scala OT" w:hAnsi="Scala OT"/>
        </w:rPr>
        <w:t>- und Teststatus in Bezug auf COVID-19 zu verarbeiten. (Abs. 3)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Verpflichtung des Arbeitgebers, den Beschäftigten </w:t>
      </w:r>
      <w:proofErr w:type="gramStart"/>
      <w:r>
        <w:rPr>
          <w:rFonts w:ascii="Scala OT" w:hAnsi="Scala OT"/>
        </w:rPr>
        <w:t>Home Office</w:t>
      </w:r>
      <w:proofErr w:type="gramEnd"/>
      <w:r>
        <w:rPr>
          <w:rFonts w:ascii="Scala OT" w:hAnsi="Scala OT"/>
        </w:rPr>
        <w:t xml:space="preserve"> anzubieten, sowie die korrespondiere Verpflichtung der Beschäftigen, dieses Angebot anzunehmen. (Abs. 4)</w:t>
      </w:r>
      <w:r>
        <w:rPr>
          <w:rFonts w:ascii="Scala OT" w:hAnsi="Scala OT"/>
        </w:rPr>
        <w:br/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Nach dem </w:t>
      </w:r>
      <w:r>
        <w:rPr>
          <w:rFonts w:ascii="Scala OT" w:hAnsi="Scala OT"/>
          <w:u w:val="single"/>
        </w:rPr>
        <w:t>bisherigen</w:t>
      </w:r>
      <w:r>
        <w:rPr>
          <w:rFonts w:ascii="Scala OT" w:hAnsi="Scala OT"/>
        </w:rPr>
        <w:t xml:space="preserve"> Abs. 5 Satz 1 (künftig: Abs. 1 Satz 1-3) durften Verkehrsmittel des Luftverkehrs, des öffentlichen Personennahverkehrs und des öffentlichen Personenfernverkehrs nur unter 3G-Bedingungen und mit Atemschutzmaske (FFP2 oder vergleichbar) oder medizinischer Gesichtsmaske (Mund-Nasen-Schutz) benutzt werden. 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  <w:u w:val="single"/>
        </w:rPr>
        <w:t>Künftig</w:t>
      </w:r>
      <w:r>
        <w:rPr>
          <w:rFonts w:ascii="Scala OT" w:hAnsi="Scala OT"/>
        </w:rPr>
        <w:t xml:space="preserve"> gelten die Regelung nur noch für Verkehrsmittel des Luftverkehrs und des öffentlichen Personen</w:t>
      </w:r>
      <w:r>
        <w:rPr>
          <w:rFonts w:ascii="Scala OT" w:hAnsi="Scala OT"/>
          <w:u w:val="single"/>
        </w:rPr>
        <w:t>fern</w:t>
      </w:r>
      <w:r>
        <w:rPr>
          <w:rFonts w:ascii="Scala OT" w:hAnsi="Scala OT"/>
        </w:rPr>
        <w:t>verkehrs, die 3G-Bedingungen entfallen und die BReg wird ermächtigt, diese Verpflichtung auszusetzen.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Solange ein Land von der Ermächtigung in § 28a Absatz 7 Satz 1 Nummer 1 Buchstabe b </w:t>
      </w:r>
      <w:r>
        <w:rPr>
          <w:rFonts w:ascii="Scala OT" w:hAnsi="Scala OT"/>
          <w:i/>
        </w:rPr>
        <w:t>(also der Verpflichtung zum Maskentragen in Verkehrsmitteln des öffentlichen Personen</w:t>
      </w:r>
      <w:r>
        <w:rPr>
          <w:rFonts w:ascii="Scala OT" w:hAnsi="Scala OT"/>
          <w:i/>
          <w:u w:val="single"/>
        </w:rPr>
        <w:t>nah</w:t>
      </w:r>
      <w:r>
        <w:rPr>
          <w:rFonts w:ascii="Scala OT" w:hAnsi="Scala OT"/>
          <w:i/>
        </w:rPr>
        <w:t>verkehrs)</w:t>
      </w:r>
      <w:r>
        <w:rPr>
          <w:rFonts w:ascii="Scala OT" w:hAnsi="Scala OT"/>
        </w:rPr>
        <w:t xml:space="preserve"> keinen Gebrauch gemacht hat, gilt diese Verpflichtung in diesem Land bis zum 02.04.2022 auch für Verkehrsmittel des öffentlichen Personen</w:t>
      </w:r>
      <w:r>
        <w:rPr>
          <w:rFonts w:ascii="Scala OT" w:hAnsi="Scala OT"/>
          <w:u w:val="single"/>
        </w:rPr>
        <w:t>nah</w:t>
      </w:r>
      <w:r>
        <w:rPr>
          <w:rFonts w:ascii="Scala OT" w:hAnsi="Scala OT"/>
        </w:rPr>
        <w:t>verkehrs.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 xml:space="preserve">5. § 6 </w:t>
      </w:r>
      <w:proofErr w:type="spellStart"/>
      <w:r>
        <w:rPr>
          <w:rFonts w:ascii="Scala OT" w:hAnsi="Scala OT"/>
          <w:u w:val="single"/>
        </w:rPr>
        <w:t>SchAusnahmV</w:t>
      </w:r>
      <w:proofErr w:type="spellEnd"/>
      <w:r>
        <w:rPr>
          <w:rFonts w:ascii="Scala OT" w:hAnsi="Scala OT"/>
          <w:u w:val="single"/>
        </w:rPr>
        <w:t>: Ausnahmen von Absonderungspflichten</w:t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Es bleibt beim Grundsatz, dass Pflichten zur Absonderung nach Landesrecht auf Grund der Vorschriften des 5. Abschnitts des IfSG nicht für geimpfte und genesene Personen gelten</w:t>
      </w:r>
      <w:r>
        <w:rPr>
          <w:rFonts w:ascii="Scala OT" w:hAnsi="Scala OT"/>
        </w:rPr>
        <w:br/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Nach den </w:t>
      </w:r>
      <w:r>
        <w:rPr>
          <w:rFonts w:ascii="Scala OT" w:hAnsi="Scala OT"/>
          <w:u w:val="single"/>
        </w:rPr>
        <w:t>bisherigen</w:t>
      </w:r>
      <w:r>
        <w:rPr>
          <w:rFonts w:ascii="Scala OT" w:hAnsi="Scala OT"/>
        </w:rPr>
        <w:t xml:space="preserve"> Rückausnahmen gilt dies nicht, wenn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nach den vom Robert Koch-Institut im Internet unter der Adresse www.rki.de/kontaktpersonenmanagement unter Berücksichtigung des aktuellen Stands der medizinischen Wissenschaft veröffentlichten Vorgaben eine Absonderung auch für bestimmte geimpfte Personen oder genesene Personen möglich ist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die Einreise in die Bundesrepublik Deutschland nach Voraufenthalt in einem als Virusvariantengebiet im Sinne der Coronavirus-Einreiseverordnung festgestellten Gebiet erfolgt</w:t>
      </w:r>
      <w:r>
        <w:rPr>
          <w:rFonts w:ascii="Scala OT" w:hAnsi="Scala OT"/>
        </w:rPr>
        <w:br/>
      </w:r>
    </w:p>
    <w:p>
      <w:pPr>
        <w:pStyle w:val="Listenabsatz"/>
        <w:numPr>
          <w:ilvl w:val="0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Nach den </w:t>
      </w:r>
      <w:r>
        <w:rPr>
          <w:rFonts w:ascii="Scala OT" w:hAnsi="Scala OT"/>
          <w:u w:val="single"/>
        </w:rPr>
        <w:t xml:space="preserve">künftigen </w:t>
      </w:r>
      <w:r>
        <w:rPr>
          <w:rFonts w:ascii="Scala OT" w:hAnsi="Scala OT"/>
        </w:rPr>
        <w:t>Rückausnahmen gilt dies (bis einschließlich 30.09.2022, danach verbleibt nur die letzte Rückausnahme) nicht für Personen,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die zwei Einzelimpfungen erhalten haben, wenn die zweite Einzelimpfung mehr als 90 Tagen zurückliegt und sie danach keine dritte Einzelimpfung erhalten haben,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lastRenderedPageBreak/>
        <w:t xml:space="preserve">bei denen ein vollständiger Impfschutz </w:t>
      </w:r>
      <w:proofErr w:type="spellStart"/>
      <w:r>
        <w:rPr>
          <w:rFonts w:ascii="Scala OT" w:hAnsi="Scala OT"/>
        </w:rPr>
        <w:t>iSv</w:t>
      </w:r>
      <w:proofErr w:type="spellEnd"/>
      <w:r>
        <w:rPr>
          <w:rFonts w:ascii="Scala OT" w:hAnsi="Scala OT"/>
        </w:rPr>
        <w:t xml:space="preserve"> § 22a Abs. 1 Satz 4 </w:t>
      </w:r>
      <w:proofErr w:type="spellStart"/>
      <w:r>
        <w:rPr>
          <w:rFonts w:ascii="Scala OT" w:hAnsi="Scala OT"/>
        </w:rPr>
        <w:t>iVm</w:t>
      </w:r>
      <w:proofErr w:type="spellEnd"/>
      <w:r>
        <w:rPr>
          <w:rFonts w:ascii="Scala OT" w:hAnsi="Scala OT"/>
        </w:rPr>
        <w:t xml:space="preserve"> § 22a Abs. 1 Satz 3 Nr. 1 oder 2 IfSG seit mehr als 90 Tagen besteht und die keine zweite Einzelimpfung erhalten haben,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 xml:space="preserve">bei denen ein vollständiger </w:t>
      </w:r>
      <w:proofErr w:type="spellStart"/>
      <w:r>
        <w:rPr>
          <w:rFonts w:ascii="Scala OT" w:hAnsi="Scala OT"/>
        </w:rPr>
        <w:t>iSv</w:t>
      </w:r>
      <w:proofErr w:type="spellEnd"/>
      <w:r>
        <w:rPr>
          <w:rFonts w:ascii="Scala OT" w:hAnsi="Scala OT"/>
        </w:rPr>
        <w:t xml:space="preserve"> von § 22a Abs. 1 Satz 4 </w:t>
      </w:r>
      <w:proofErr w:type="spellStart"/>
      <w:r>
        <w:rPr>
          <w:rFonts w:ascii="Scala OT" w:hAnsi="Scala OT"/>
        </w:rPr>
        <w:t>iVm</w:t>
      </w:r>
      <w:proofErr w:type="spellEnd"/>
      <w:r>
        <w:rPr>
          <w:rFonts w:ascii="Scala OT" w:hAnsi="Scala OT"/>
        </w:rPr>
        <w:t xml:space="preserve"> § 22a Abs. 1 Satz 3 Nr. 3 IfSG besteht, wenn seit der Durchführung der dem Testnachweis zugrundeliegenden Testung mehr als 90 Tage vergangen sind und sie danach keine zweite Einzelimpfung erhalten haben, oder</w:t>
      </w:r>
    </w:p>
    <w:p>
      <w:pPr>
        <w:pStyle w:val="Listenabsatz"/>
        <w:numPr>
          <w:ilvl w:val="1"/>
          <w:numId w:val="7"/>
        </w:numPr>
        <w:rPr>
          <w:rFonts w:ascii="Scala OT" w:hAnsi="Scala OT"/>
        </w:rPr>
      </w:pPr>
      <w:r>
        <w:rPr>
          <w:rFonts w:ascii="Scala OT" w:hAnsi="Scala OT"/>
        </w:rPr>
        <w:t>die nach einem Voraufenthalt in einem Virusvariantengebiet im Sinne der Coronavirus-Einreiseverordnung in die Bundesrepublik Deutschland einreisen.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ala OT">
    <w:panose1 w:val="02010504040101020104"/>
    <w:charset w:val="00"/>
    <w:family w:val="auto"/>
    <w:pitch w:val="variable"/>
    <w:sig w:usb0="A00000EF" w:usb1="5000E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B7F9C"/>
    <w:multiLevelType w:val="hybridMultilevel"/>
    <w:tmpl w:val="7550E426"/>
    <w:lvl w:ilvl="0" w:tplc="74FC51E0">
      <w:start w:val="1"/>
      <w:numFmt w:val="bullet"/>
      <w:lvlText w:val="–"/>
      <w:lvlJc w:val="left"/>
      <w:pPr>
        <w:ind w:left="1065" w:hanging="360"/>
      </w:pPr>
      <w:rPr>
        <w:rFonts w:ascii="Scala OT" w:eastAsiaTheme="minorHAnsi" w:hAnsi="Scala O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E8572D"/>
    <w:multiLevelType w:val="hybridMultilevel"/>
    <w:tmpl w:val="3E6AB478"/>
    <w:lvl w:ilvl="0" w:tplc="E2F682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FA1AB6"/>
    <w:multiLevelType w:val="hybridMultilevel"/>
    <w:tmpl w:val="E7009BAA"/>
    <w:lvl w:ilvl="0" w:tplc="9A8A2D08">
      <w:start w:val="1"/>
      <w:numFmt w:val="bullet"/>
      <w:lvlText w:val="–"/>
      <w:lvlJc w:val="left"/>
      <w:pPr>
        <w:ind w:left="1065" w:hanging="360"/>
      </w:pPr>
      <w:rPr>
        <w:rFonts w:ascii="Scala OT" w:eastAsiaTheme="minorHAnsi" w:hAnsi="Scala O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B37E2C"/>
    <w:multiLevelType w:val="hybridMultilevel"/>
    <w:tmpl w:val="5348836E"/>
    <w:lvl w:ilvl="0" w:tplc="C24696C2">
      <w:start w:val="1"/>
      <w:numFmt w:val="bullet"/>
      <w:lvlText w:val="–"/>
      <w:lvlJc w:val="left"/>
      <w:pPr>
        <w:ind w:left="720" w:hanging="360"/>
      </w:pPr>
      <w:rPr>
        <w:rFonts w:ascii="Scala OT" w:eastAsiaTheme="minorHAnsi" w:hAnsi="Scala OT" w:cstheme="minorBidi" w:hint="default"/>
      </w:rPr>
    </w:lvl>
    <w:lvl w:ilvl="1" w:tplc="74FC51E0">
      <w:start w:val="1"/>
      <w:numFmt w:val="bullet"/>
      <w:lvlText w:val="–"/>
      <w:lvlJc w:val="left"/>
      <w:pPr>
        <w:ind w:left="1440" w:hanging="360"/>
      </w:pPr>
      <w:rPr>
        <w:rFonts w:ascii="Scala OT" w:eastAsiaTheme="minorHAnsi" w:hAnsi="Scala OT" w:cstheme="minorBidi" w:hint="default"/>
      </w:rPr>
    </w:lvl>
    <w:lvl w:ilvl="2" w:tplc="74FC51E0">
      <w:start w:val="1"/>
      <w:numFmt w:val="bullet"/>
      <w:lvlText w:val="–"/>
      <w:lvlJc w:val="left"/>
      <w:pPr>
        <w:ind w:left="2160" w:hanging="360"/>
      </w:pPr>
      <w:rPr>
        <w:rFonts w:ascii="Scala OT" w:eastAsiaTheme="minorHAnsi" w:hAnsi="Scala OT" w:cstheme="minorBidi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650FC"/>
    <w:multiLevelType w:val="hybridMultilevel"/>
    <w:tmpl w:val="48F09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06E2"/>
    <w:multiLevelType w:val="hybridMultilevel"/>
    <w:tmpl w:val="E25C60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F0EE6"/>
    <w:multiLevelType w:val="hybridMultilevel"/>
    <w:tmpl w:val="88328D5C"/>
    <w:lvl w:ilvl="0" w:tplc="420C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0E3EE-9117-4D7E-B026-B934ADBB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Scala Sans OT" w:hAnsi="Scala Sans OT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1851</Words>
  <Characters>11662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Mehlitz, Joachim-Martin</dc:creator>
  <cp:keywords/>
  <dc:description/>
  <cp:lastModifiedBy>Mehlitz, Joachim-Martin</cp:lastModifiedBy>
  <cp:revision>120</cp:revision>
  <dcterms:created xsi:type="dcterms:W3CDTF">2022-03-15T13:10:00Z</dcterms:created>
  <dcterms:modified xsi:type="dcterms:W3CDTF">2022-03-16T11:49:00Z</dcterms:modified>
</cp:coreProperties>
</file>