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2"/>
        <w:rPr>
          <w:b/>
        </w:rPr>
      </w:pPr>
      <w:r>
        <w:rPr>
          <w:b/>
        </w:rPr>
        <w:t xml:space="preserve">Strategieanpassung im Kontext von Omikron-Variante (BA.1/BA.2): </w:t>
      </w:r>
    </w:p>
    <w:p>
      <w:pPr>
        <w:pStyle w:val="berschrift2"/>
        <w:rPr>
          <w:b/>
        </w:rPr>
      </w:pPr>
      <w:r>
        <w:rPr>
          <w:b/>
        </w:rPr>
        <w:t>Grundsätze des Umgangs mit respiratorischen Erkrankungen mit Fokus auf COVID-19 im Frühjahr 2022</w:t>
      </w:r>
    </w:p>
    <w:p/>
    <w:tbl>
      <w:tblPr>
        <w:tblStyle w:val="Tabellenraster"/>
        <w:tblW w:w="10065" w:type="dxa"/>
        <w:tblInd w:w="-431" w:type="dxa"/>
        <w:tblLook w:val="04A0" w:firstRow="1" w:lastRow="0" w:firstColumn="1" w:lastColumn="0" w:noHBand="0" w:noVBand="1"/>
      </w:tblPr>
      <w:tblGrid>
        <w:gridCol w:w="3403"/>
        <w:gridCol w:w="6662"/>
      </w:tblGrid>
      <w:tr>
        <w:tc>
          <w:tcPr>
            <w:tcW w:w="3403" w:type="dxa"/>
          </w:tcPr>
          <w:p/>
        </w:tc>
        <w:tc>
          <w:tcPr>
            <w:tcW w:w="6662" w:type="dxa"/>
          </w:tcPr>
          <w:p>
            <w:r>
              <w:t>Bemerkungen</w:t>
            </w:r>
          </w:p>
        </w:tc>
      </w:tr>
      <w:tr>
        <w:tc>
          <w:tcPr>
            <w:tcW w:w="3403" w:type="dxa"/>
          </w:tcPr>
          <w:p>
            <w:pPr>
              <w:pStyle w:val="Listenabsatz"/>
              <w:numPr>
                <w:ilvl w:val="0"/>
                <w:numId w:val="1"/>
              </w:numPr>
            </w:pPr>
            <w:r>
              <w:t>GMK-Beschluss</w:t>
            </w:r>
          </w:p>
        </w:tc>
        <w:tc>
          <w:tcPr>
            <w:tcW w:w="6662" w:type="dxa"/>
          </w:tcPr>
          <w:p>
            <w:r>
              <w:t>Schriftlicher Beschluss steht aus</w:t>
            </w:r>
          </w:p>
        </w:tc>
      </w:tr>
      <w:tr>
        <w:tc>
          <w:tcPr>
            <w:tcW w:w="3403" w:type="dxa"/>
          </w:tcPr>
          <w:p>
            <w:pPr>
              <w:pStyle w:val="Listenabsatz"/>
              <w:numPr>
                <w:ilvl w:val="0"/>
                <w:numId w:val="1"/>
              </w:numPr>
            </w:pPr>
            <w:r>
              <w:t>AGI</w:t>
            </w:r>
          </w:p>
        </w:tc>
        <w:tc>
          <w:tcPr>
            <w:tcW w:w="6662" w:type="dxa"/>
          </w:tcPr>
          <w:p>
            <w:r>
              <w:t xml:space="preserve">Vom 05.04.2022: </w:t>
            </w:r>
          </w:p>
          <w:p>
            <w:r>
              <w:t>-Kommunikation muss gezielt gesteuert werden. Vorsicht: nicht mit Überlastung der GÄ argumentieren. Wichtig ist, dass rüberkommt, dass der/die krank ist, zu Hause bleiben soll. Dafür gibt es das Mittel der (elektronischen) Krankschreibung. Gemeinsame Kommunikationslinien sind wichtig, z.B. auch, weil Inzidenz Sprung erhalten wird (s.u.).</w:t>
            </w:r>
          </w:p>
          <w:p>
            <w:r>
              <w:t>-Einigkeit, dass die Inzidenz fallen wird, weil anlasslose Tests wegfallen, aber nach diesem Sprung sollte sie wieder hilfreich sein. Andere Systeme (</w:t>
            </w:r>
            <w:proofErr w:type="spellStart"/>
            <w:r>
              <w:t>zB</w:t>
            </w:r>
            <w:proofErr w:type="spellEnd"/>
            <w:r>
              <w:t xml:space="preserve"> </w:t>
            </w:r>
            <w:proofErr w:type="spellStart"/>
            <w:r>
              <w:t>syndromische</w:t>
            </w:r>
            <w:proofErr w:type="spellEnd"/>
            <w:r>
              <w:t xml:space="preserve">) bzw. Indikatoren sollten auch helfen, die Situation/den Trend zukünftig zu beurteilen.  </w:t>
            </w:r>
          </w:p>
          <w:p>
            <w:r>
              <w:t xml:space="preserve">-Mehrere BL beenden Schul- und Kitatests im Laufe oder mit Ende des Aprils. Eltern laufen aber schon Sturm. </w:t>
            </w:r>
          </w:p>
          <w:p>
            <w:r>
              <w:t xml:space="preserve">-WER bekommt Tätigkeitsverbot (bei Personen, die mit Personen mit erhöhtem Risiko für schweren Verlauf Kontakt haben): </w:t>
            </w:r>
            <w:proofErr w:type="spellStart"/>
            <w:r>
              <w:t>zB</w:t>
            </w:r>
            <w:proofErr w:type="spellEnd"/>
            <w:r>
              <w:t xml:space="preserve"> auch Fahrdienste für Senioren oder Behinderte? </w:t>
            </w:r>
            <w:r>
              <w:br/>
              <w:t xml:space="preserve">Und: Fragen der Umsetzung </w:t>
            </w:r>
            <w:r>
              <w:br/>
            </w:r>
            <w:r>
              <w:sym w:font="Wingdings" w:char="F0E0"/>
            </w:r>
            <w:r>
              <w:t xml:space="preserve"> Vorschlag einer UAG. </w:t>
            </w:r>
          </w:p>
          <w:p>
            <w:r>
              <w:t>-Vereinzelt wurde Abschaffung der Meldepflicht vorgeschlagen, aber UR antwortete, dass diese nach wie vor wichtig ist für die Trenderkennung, Impf-EFF.</w:t>
            </w:r>
          </w:p>
          <w:p>
            <w:r>
              <w:t xml:space="preserve">-Abfrage, OB bzw. </w:t>
            </w:r>
            <w:proofErr w:type="spellStart"/>
            <w:r>
              <w:t>ggf</w:t>
            </w:r>
            <w:proofErr w:type="spellEnd"/>
            <w:r>
              <w:t xml:space="preserve"> in welcher Bearbeitungszeit von GÄ Bescheide erstellt werden, was Absonderung anbetrifft. Manche haben schon seit Monaten </w:t>
            </w:r>
            <w:proofErr w:type="spellStart"/>
            <w:r>
              <w:t>Bescheiderstellung</w:t>
            </w:r>
            <w:proofErr w:type="spellEnd"/>
            <w:r>
              <w:t xml:space="preserve"> eingestellt, bei anderen wird dies von Polizei übernommen und die Zeitdauer ist sehr variabel. </w:t>
            </w:r>
          </w:p>
        </w:tc>
      </w:tr>
      <w:tr>
        <w:tc>
          <w:tcPr>
            <w:tcW w:w="3403" w:type="dxa"/>
          </w:tcPr>
          <w:p>
            <w:pPr>
              <w:pStyle w:val="Listenabsatz"/>
              <w:numPr>
                <w:ilvl w:val="0"/>
                <w:numId w:val="1"/>
              </w:numPr>
            </w:pPr>
            <w:r>
              <w:t xml:space="preserve">Rückmeldungen der Länder und KRINKO </w:t>
            </w:r>
          </w:p>
        </w:tc>
        <w:tc>
          <w:tcPr>
            <w:tcW w:w="6662" w:type="dxa"/>
          </w:tcPr>
          <w:p>
            <w:r>
              <w:t>Siehe Papier „Konsolidierung und Umsetzung RM Länder.docx“</w:t>
            </w:r>
          </w:p>
          <w:p>
            <w:r>
              <w:t>-aus unserer Sicht (FG36): ist Testung nach 5d und bei KP beschlossene Sache?</w:t>
            </w:r>
          </w:p>
          <w:p>
            <w:r>
              <w:t>-Erlass ID 5279: Einarbeitung in „Strategieanpassung im Kontext der Ausbreitung von Omikron“</w:t>
            </w:r>
          </w:p>
          <w:p>
            <w:r>
              <w:t>-RM KRINKO</w:t>
            </w:r>
          </w:p>
        </w:tc>
      </w:tr>
      <w:tr>
        <w:tc>
          <w:tcPr>
            <w:tcW w:w="3403" w:type="dxa"/>
          </w:tcPr>
          <w:p>
            <w:pPr>
              <w:pStyle w:val="Listenabsatz"/>
              <w:numPr>
                <w:ilvl w:val="0"/>
                <w:numId w:val="1"/>
              </w:numPr>
            </w:pPr>
            <w:r>
              <w:t>„Eckpunkte/Grundsätze“- Papier zu „Strategieanpassung im Kontext der Ausbreitung der Omikron-Variante…“</w:t>
            </w:r>
          </w:p>
        </w:tc>
        <w:tc>
          <w:tcPr>
            <w:tcW w:w="6662" w:type="dxa"/>
          </w:tcPr>
          <w:p>
            <w:r>
              <w:t xml:space="preserve">Siehe Entwurf. noch einarbeiten/diskutieren: </w:t>
            </w:r>
          </w:p>
          <w:p>
            <w:pPr>
              <w:pStyle w:val="Listenabsatz"/>
              <w:numPr>
                <w:ilvl w:val="0"/>
                <w:numId w:val="3"/>
              </w:numPr>
            </w:pPr>
            <w:r>
              <w:t>Harmonisierung mit Tabelle aus GMK</w:t>
            </w:r>
          </w:p>
          <w:p>
            <w:pPr>
              <w:pStyle w:val="Listenabsatz"/>
              <w:numPr>
                <w:ilvl w:val="0"/>
                <w:numId w:val="2"/>
              </w:numPr>
            </w:pPr>
            <w:r>
              <w:t>RM der BL und KRINKO</w:t>
            </w:r>
          </w:p>
          <w:p>
            <w:pPr>
              <w:pStyle w:val="Listenabsatz"/>
              <w:numPr>
                <w:ilvl w:val="0"/>
                <w:numId w:val="2"/>
              </w:numPr>
            </w:pPr>
            <w:r>
              <w:t>mehr „wissenschaftliche Begründung“</w:t>
            </w:r>
          </w:p>
          <w:p>
            <w:pPr>
              <w:pStyle w:val="Listenabsatz"/>
              <w:numPr>
                <w:ilvl w:val="0"/>
                <w:numId w:val="2"/>
              </w:numPr>
            </w:pPr>
            <w:r>
              <w:t>Kommunikationsaktivitäten?</w:t>
            </w:r>
          </w:p>
        </w:tc>
      </w:tr>
      <w:tr>
        <w:tc>
          <w:tcPr>
            <w:tcW w:w="3403" w:type="dxa"/>
          </w:tcPr>
          <w:p>
            <w:pPr>
              <w:pStyle w:val="Listenabsatz"/>
              <w:numPr>
                <w:ilvl w:val="0"/>
                <w:numId w:val="1"/>
              </w:numPr>
            </w:pPr>
            <w:r>
              <w:t>Informationsblatt für Bevölkerung und ÄrztInnen</w:t>
            </w:r>
          </w:p>
        </w:tc>
        <w:tc>
          <w:tcPr>
            <w:tcW w:w="6662" w:type="dxa"/>
          </w:tcPr>
          <w:p>
            <w:r>
              <w:t>Siehe Entwurf; noch mal abstimmen? wer arbeitet aus? wie verteilen, an wen?</w:t>
            </w:r>
          </w:p>
        </w:tc>
      </w:tr>
      <w:tr>
        <w:tc>
          <w:tcPr>
            <w:tcW w:w="3403" w:type="dxa"/>
          </w:tcPr>
          <w:p>
            <w:pPr>
              <w:pStyle w:val="Listenabsatz"/>
              <w:numPr>
                <w:ilvl w:val="0"/>
                <w:numId w:val="1"/>
              </w:numPr>
            </w:pPr>
            <w:r>
              <w:t>Hintergrundgespräch</w:t>
            </w:r>
          </w:p>
        </w:tc>
        <w:tc>
          <w:tcPr>
            <w:tcW w:w="6662" w:type="dxa"/>
          </w:tcPr>
          <w:p>
            <w:r>
              <w:t>Organisiert BMG</w:t>
            </w:r>
          </w:p>
        </w:tc>
      </w:tr>
      <w:tr>
        <w:tc>
          <w:tcPr>
            <w:tcW w:w="3403" w:type="dxa"/>
          </w:tcPr>
          <w:p>
            <w:pPr>
              <w:pStyle w:val="Listenabsatz"/>
              <w:numPr>
                <w:ilvl w:val="0"/>
                <w:numId w:val="1"/>
              </w:numPr>
            </w:pPr>
            <w:r>
              <w:t>FAQ</w:t>
            </w:r>
          </w:p>
        </w:tc>
        <w:tc>
          <w:tcPr>
            <w:tcW w:w="6662" w:type="dxa"/>
          </w:tcPr>
          <w:p>
            <w:r>
              <w:t>Federführung?</w:t>
            </w:r>
          </w:p>
        </w:tc>
      </w:tr>
      <w:tr>
        <w:tc>
          <w:tcPr>
            <w:tcW w:w="3403" w:type="dxa"/>
          </w:tcPr>
          <w:p>
            <w:pPr>
              <w:pStyle w:val="Listenabsatz"/>
              <w:numPr>
                <w:ilvl w:val="0"/>
                <w:numId w:val="1"/>
              </w:numPr>
            </w:pPr>
            <w:r>
              <w:t>Abstimmung</w:t>
            </w:r>
          </w:p>
        </w:tc>
        <w:tc>
          <w:tcPr>
            <w:tcW w:w="6662" w:type="dxa"/>
          </w:tcPr>
          <w:p>
            <w:r>
              <w:t xml:space="preserve">Wer macht was? (BMG, RKI, </w:t>
            </w:r>
            <w:proofErr w:type="spellStart"/>
            <w:r>
              <w:t>BzgA</w:t>
            </w:r>
            <w:proofErr w:type="spellEnd"/>
            <w:r>
              <w:t xml:space="preserve">, Länder, </w:t>
            </w:r>
            <w:proofErr w:type="gramStart"/>
            <w:r>
              <w:t>KRINKO,…</w:t>
            </w:r>
            <w:proofErr w:type="gramEnd"/>
            <w:r>
              <w:t>), Koordination, Vermeidung von Doppelarbeit.</w:t>
            </w:r>
          </w:p>
        </w:tc>
      </w:tr>
    </w:tbl>
    <w:p>
      <w:bookmarkStart w:id="0" w:name="_GoBack"/>
      <w:bookmarkEnd w:id="0"/>
      <w:r>
        <w:t>Beilage: „Konsolidierung und Umsetzung RM Länder“; Eckpfeiler/Grundsätze („Strategieanpassung“); Infoblätter</w:t>
      </w:r>
    </w:p>
    <w:sectPr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DE2493"/>
    <w:multiLevelType w:val="hybridMultilevel"/>
    <w:tmpl w:val="611E347E"/>
    <w:lvl w:ilvl="0" w:tplc="9EBAE68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DF16E6"/>
    <w:multiLevelType w:val="hybridMultilevel"/>
    <w:tmpl w:val="3BFCB15C"/>
    <w:lvl w:ilvl="0" w:tplc="0F72DA4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73799D"/>
    <w:multiLevelType w:val="hybridMultilevel"/>
    <w:tmpl w:val="7F26609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BB6EBA-2F8D-401B-AD9F-54DB7044A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Buchholz, Udo</dc:creator>
  <cp:keywords/>
  <dc:description/>
  <cp:lastModifiedBy>Buchholz, Udo</cp:lastModifiedBy>
  <cp:revision>9</cp:revision>
  <dcterms:created xsi:type="dcterms:W3CDTF">2022-04-05T13:10:00Z</dcterms:created>
  <dcterms:modified xsi:type="dcterms:W3CDTF">2022-04-06T05:37:00Z</dcterms:modified>
</cp:coreProperties>
</file>