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Annex 1 – Beispiel für ein Informationsblatt (Allgemeinbevölkerung; Testzentren)</w:t>
      </w:r>
      <w:bookmarkStart w:id="0" w:name="_GoBack"/>
      <w:bookmarkEnd w:id="0"/>
    </w:p>
    <w:p>
      <w:pPr>
        <w:pStyle w:val="berschrift1"/>
      </w:pPr>
      <w:r>
        <w:t>INFORMATIONSBLATT für Personen mit Atemwegsinfektionen, einschließlich COVID-19 und Influenza</w:t>
      </w:r>
    </w:p>
    <w:p/>
    <w:p>
      <w:pPr>
        <w:pStyle w:val="Listenabsatz"/>
        <w:numPr>
          <w:ilvl w:val="0"/>
          <w:numId w:val="2"/>
        </w:numPr>
      </w:pPr>
      <w:r>
        <w:t xml:space="preserve">Wenn Sie an einer Atemwegserkrankung leiden und neu auftretende Symptome wie Schnupfen, Halsschmerzen oder Husten – mit oder ohne Fieber - haben, sollten Sie nach Möglichkeit 3-5 Tage und bis zum Abklingen der Symptome zu Hause bleiben und Kontakte reduzieren, um die Wahrscheinlichkeit einer Ansteckung anderer Menschen zu vermindern. </w:t>
      </w:r>
    </w:p>
    <w:p>
      <w:pPr>
        <w:pStyle w:val="Listenabsatz"/>
        <w:numPr>
          <w:ilvl w:val="0"/>
          <w:numId w:val="2"/>
        </w:numPr>
      </w:pPr>
      <w:r>
        <w:t>Diese Empfehlung gilt für Personen jeglichen Alters und unabhängig vom Impfstatus</w:t>
      </w:r>
    </w:p>
    <w:p>
      <w:pPr>
        <w:pStyle w:val="Listenabsatz"/>
        <w:numPr>
          <w:ilvl w:val="0"/>
          <w:numId w:val="2"/>
        </w:numPr>
      </w:pPr>
      <w:r>
        <w:t xml:space="preserve">Vermeiden Sie Insbesondere in diesen 3-5 Tagen (und bis zu Symptomfreiheit) den mittelbaren oder unmittelbaren Kontakt zu Personen mit dem erhöhten Risiko eines schweren Verlaufs. Zu diesen Personen zählen: </w:t>
      </w:r>
    </w:p>
    <w:p>
      <w:pPr>
        <w:pStyle w:val="Listenabsatz"/>
        <w:numPr>
          <w:ilvl w:val="1"/>
          <w:numId w:val="2"/>
        </w:numPr>
      </w:pPr>
      <w:r>
        <w:t>ältere Personen</w:t>
      </w:r>
    </w:p>
    <w:p>
      <w:pPr>
        <w:pStyle w:val="Listenabsatz"/>
        <w:numPr>
          <w:ilvl w:val="1"/>
          <w:numId w:val="2"/>
        </w:numPr>
      </w:pPr>
      <w:r>
        <w:t>Personen mit einer Vorerkrankung der Lunge</w:t>
      </w:r>
    </w:p>
    <w:p>
      <w:pPr>
        <w:pStyle w:val="Listenabsatz"/>
        <w:numPr>
          <w:ilvl w:val="1"/>
          <w:numId w:val="2"/>
        </w:numPr>
      </w:pPr>
      <w:r>
        <w:t>Personen mit einer Vorerkrankung des Herz-Kreislaufsystems</w:t>
      </w:r>
    </w:p>
    <w:p>
      <w:pPr>
        <w:pStyle w:val="Listenabsatz"/>
        <w:numPr>
          <w:ilvl w:val="1"/>
          <w:numId w:val="2"/>
        </w:numPr>
      </w:pPr>
      <w:r>
        <w:t xml:space="preserve">Personen mit einer Vorerkrankung des Immunsystems. Dazu gehören auch Personen, die aufgrund einer medikamentösen Einnahme von z.B. Cortison immungeschwächt sind. </w:t>
      </w:r>
    </w:p>
    <w:p>
      <w:pPr>
        <w:pStyle w:val="Listenabsatz"/>
        <w:numPr>
          <w:ilvl w:val="1"/>
          <w:numId w:val="2"/>
        </w:numPr>
      </w:pPr>
      <w:r>
        <w:t>Personen mit einer Vorerkrankung des Zuckerstoffwechsels (DiabetikerInnen/Zuckerkranke)</w:t>
      </w:r>
    </w:p>
    <w:p>
      <w:pPr>
        <w:pStyle w:val="Listenabsatz"/>
        <w:numPr>
          <w:ilvl w:val="1"/>
          <w:numId w:val="2"/>
        </w:numPr>
      </w:pPr>
      <w:r>
        <w:t>Personen mit Vorerkrankungen, die ebenfalls das Risiko für einen schweren Verlauf einer Atemwegserkrankung begünstigen können</w:t>
      </w:r>
    </w:p>
    <w:p>
      <w:pPr>
        <w:pStyle w:val="Listenabsatz"/>
        <w:numPr>
          <w:ilvl w:val="1"/>
          <w:numId w:val="2"/>
        </w:numPr>
      </w:pPr>
      <w:r>
        <w:t>Schwangere</w:t>
      </w:r>
    </w:p>
    <w:p>
      <w:pPr>
        <w:pStyle w:val="Listenabsatz"/>
        <w:numPr>
          <w:ilvl w:val="1"/>
          <w:numId w:val="2"/>
        </w:numPr>
      </w:pPr>
      <w:r>
        <w:t>Säuglinge</w:t>
      </w:r>
    </w:p>
    <w:p>
      <w:pPr>
        <w:pStyle w:val="Listenabsatz"/>
        <w:numPr>
          <w:ilvl w:val="0"/>
          <w:numId w:val="2"/>
        </w:numPr>
      </w:pPr>
      <w:r>
        <w:t xml:space="preserve">Bitte beachten Sie, dass diese Personen z.B. in Altenpflegeheimen wohnen können, oder aber familiäre Kontaktpersonen sein können, oder Personen sein können, deren Risikostatus Sie gar nicht kennen (können). </w:t>
      </w:r>
    </w:p>
    <w:p>
      <w:pPr>
        <w:pStyle w:val="Listenabsatz"/>
        <w:numPr>
          <w:ilvl w:val="0"/>
          <w:numId w:val="2"/>
        </w:numPr>
      </w:pPr>
      <w:r>
        <w:t xml:space="preserve">Sollte bei Ihnen eine Infektion mit dem SARS-CoV-2 oder Influenzavirus nachgewiesen worden sein, ist anzuraten, dass zusammen mit Ihnen alle Haushaltskontaktpersonen für 5 Tage ihre Kontakte zu Personen außerhalb des Haushalts erheblich reduzieren. Sollte eine Person in Ihrem Haushalt in den 10 Tagen nach Ihrem eigenen Symptombeginn erkranken, sollte diese Person ab dem eigenen Erkrankungsbeginn für 3-5 Tage zu Hause bleiben und Kontakte reduzieren. </w:t>
      </w:r>
    </w:p>
    <w:p>
      <w:pPr>
        <w:pStyle w:val="Listenabsatz"/>
        <w:numPr>
          <w:ilvl w:val="0"/>
          <w:numId w:val="2"/>
        </w:numPr>
      </w:pPr>
      <w:r>
        <w:t>Sollten Sie Fragen haben, wie Sie sich verhalten sollen oder Sie sich Sorgen um Ihre eigene Gesundheit machen, kontaktieren Sie Ihren Hausarzt oder Ihre Hausärztin. Falls Sie keine Hausarztpraxis haben, kontaktieren Sie die Rufnummer 116/117 für weitere Informationen.</w:t>
      </w:r>
    </w:p>
    <w:p>
      <w:r>
        <w:t>Weitere Informationen finden Sie auch im Internet (link, QR-Code zu BZgA-Seiten)</w:t>
      </w:r>
    </w:p>
    <w:p>
      <w:r>
        <w:br w:type="page"/>
      </w:r>
    </w:p>
    <w:p>
      <w:r>
        <w:lastRenderedPageBreak/>
        <w:t xml:space="preserve">Annex 2 – Beispiel für ein Informationsblatt </w:t>
      </w:r>
      <w:r>
        <w:t>für Arztpraxen</w:t>
      </w:r>
    </w:p>
    <w:p>
      <w:pPr>
        <w:pStyle w:val="berschrift1"/>
      </w:pPr>
      <w:r>
        <w:t xml:space="preserve">INFORMATIONSBLATT für Personen mit Atemwegsinfektionen, einschließlich COVID-19 und Influenza – </w:t>
      </w:r>
      <w:r>
        <w:rPr>
          <w:u w:val="single"/>
        </w:rPr>
        <w:t>für Arztpraxen</w:t>
      </w:r>
    </w:p>
    <w:p/>
    <w:p>
      <w:pPr>
        <w:pStyle w:val="Listenabsatz"/>
        <w:numPr>
          <w:ilvl w:val="0"/>
          <w:numId w:val="2"/>
        </w:numPr>
      </w:pPr>
      <w:r>
        <w:t xml:space="preserve">Wenn Sie an einer Atemwegserkrankung leiden und neu auftretende Symptome wie Schnupfen, Halsschmerzen oder Husten – mit oder ohne Fieber - haben, sollten Sie nach Möglichkeit 3-5 Tage und bis zum Abklingend er Symptome zu Hause bleiben und Kontakte reduzieren, um die Wahrscheinlichkeit einer Ansteckung anderer Menschen zu vermindern. </w:t>
      </w:r>
    </w:p>
    <w:p>
      <w:pPr>
        <w:pStyle w:val="Listenabsatz"/>
        <w:numPr>
          <w:ilvl w:val="0"/>
          <w:numId w:val="2"/>
        </w:numPr>
      </w:pPr>
      <w:r>
        <w:t>Diese Empfehlung gilt für Personen jeglichen Alters und unabhängig vom Impfstatus</w:t>
      </w:r>
    </w:p>
    <w:p>
      <w:pPr>
        <w:pStyle w:val="Listenabsatz"/>
        <w:numPr>
          <w:ilvl w:val="0"/>
          <w:numId w:val="2"/>
        </w:numPr>
      </w:pPr>
      <w:r>
        <w:t xml:space="preserve">Vermeiden Sie Insbesondere in diesen 3-5 Tagen (und bis zu Symptomfreiheit) den mittelbaren oder unmittelbaren Kontakt zu Personen mit dem erhöhten Risiko eines schweren Verlaufs. Zu diesen Personen zählen: </w:t>
      </w:r>
    </w:p>
    <w:p>
      <w:pPr>
        <w:pStyle w:val="Listenabsatz"/>
        <w:numPr>
          <w:ilvl w:val="1"/>
          <w:numId w:val="2"/>
        </w:numPr>
      </w:pPr>
      <w:r>
        <w:t>ältere Personen</w:t>
      </w:r>
    </w:p>
    <w:p>
      <w:pPr>
        <w:pStyle w:val="Listenabsatz"/>
        <w:numPr>
          <w:ilvl w:val="1"/>
          <w:numId w:val="2"/>
        </w:numPr>
      </w:pPr>
      <w:r>
        <w:t>Personen mit einer Vorerkrankung der Lunge</w:t>
      </w:r>
    </w:p>
    <w:p>
      <w:pPr>
        <w:pStyle w:val="Listenabsatz"/>
        <w:numPr>
          <w:ilvl w:val="1"/>
          <w:numId w:val="2"/>
        </w:numPr>
      </w:pPr>
      <w:r>
        <w:t>Personen mit einer Vorerkrankung des Herz-Kreislaufsystems</w:t>
      </w:r>
    </w:p>
    <w:p>
      <w:pPr>
        <w:pStyle w:val="Listenabsatz"/>
        <w:numPr>
          <w:ilvl w:val="1"/>
          <w:numId w:val="2"/>
        </w:numPr>
      </w:pPr>
      <w:r>
        <w:t xml:space="preserve">Personen mit einer Vorerkrankung des Immunsystems. Dazu gehören auch Personen, die aufgrund einer medikamentösen Einnahme von z.B. Cortison immungeschwächt sind. </w:t>
      </w:r>
    </w:p>
    <w:p>
      <w:pPr>
        <w:pStyle w:val="Listenabsatz"/>
        <w:numPr>
          <w:ilvl w:val="1"/>
          <w:numId w:val="2"/>
        </w:numPr>
      </w:pPr>
      <w:r>
        <w:t>Personen mit einer Vorerkrankung des Zuckerstoffwechsels (DiabetikerInnen/Zuckerkranke)</w:t>
      </w:r>
    </w:p>
    <w:p>
      <w:pPr>
        <w:pStyle w:val="Listenabsatz"/>
        <w:numPr>
          <w:ilvl w:val="1"/>
          <w:numId w:val="2"/>
        </w:numPr>
      </w:pPr>
      <w:r>
        <w:t>Personen mit Vorerkrankungen, die ebenfalls das Risiko für einen schweren Verlauf einer Atemwegserkrankung begünstigen können</w:t>
      </w:r>
    </w:p>
    <w:p>
      <w:pPr>
        <w:pStyle w:val="Listenabsatz"/>
        <w:numPr>
          <w:ilvl w:val="1"/>
          <w:numId w:val="2"/>
        </w:numPr>
      </w:pPr>
      <w:r>
        <w:t>Schwangere</w:t>
      </w:r>
    </w:p>
    <w:p>
      <w:pPr>
        <w:pStyle w:val="Listenabsatz"/>
        <w:numPr>
          <w:ilvl w:val="1"/>
          <w:numId w:val="2"/>
        </w:numPr>
      </w:pPr>
      <w:r>
        <w:t>Säuglinge</w:t>
      </w:r>
    </w:p>
    <w:p>
      <w:pPr>
        <w:pStyle w:val="Listenabsatz"/>
        <w:numPr>
          <w:ilvl w:val="0"/>
          <w:numId w:val="2"/>
        </w:numPr>
      </w:pPr>
      <w:r>
        <w:rPr>
          <w:noProof/>
        </w:rPr>
        <mc:AlternateContent>
          <mc:Choice Requires="wps">
            <w:drawing>
              <wp:anchor distT="0" distB="0" distL="114300" distR="114300" simplePos="0" relativeHeight="251661312" behindDoc="0" locked="0" layoutInCell="1" allowOverlap="1">
                <wp:simplePos x="0" y="0"/>
                <wp:positionH relativeFrom="column">
                  <wp:posOffset>4251214</wp:posOffset>
                </wp:positionH>
                <wp:positionV relativeFrom="paragraph">
                  <wp:posOffset>1462405</wp:posOffset>
                </wp:positionV>
                <wp:extent cx="270344" cy="246491"/>
                <wp:effectExtent l="0" t="0" r="15875" b="20320"/>
                <wp:wrapNone/>
                <wp:docPr id="2" name="Rechteck 2"/>
                <wp:cNvGraphicFramePr/>
                <a:graphic xmlns:a="http://schemas.openxmlformats.org/drawingml/2006/main">
                  <a:graphicData uri="http://schemas.microsoft.com/office/word/2010/wordprocessingShape">
                    <wps:wsp>
                      <wps:cNvSpPr/>
                      <wps:spPr>
                        <a:xfrm>
                          <a:off x="0" y="0"/>
                          <a:ext cx="270344" cy="2464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334.75pt;margin-top:115.15pt;width:21.3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" filled="f"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2333045</wp:posOffset>
                </wp:positionH>
                <wp:positionV relativeFrom="paragraph">
                  <wp:posOffset>1474470</wp:posOffset>
                </wp:positionV>
                <wp:extent cx="270344" cy="246491"/>
                <wp:effectExtent l="0" t="0" r="15875" b="20320"/>
                <wp:wrapNone/>
                <wp:docPr id="1" name="Rechteck 1"/>
                <wp:cNvGraphicFramePr/>
                <a:graphic xmlns:a="http://schemas.openxmlformats.org/drawingml/2006/main">
                  <a:graphicData uri="http://schemas.microsoft.com/office/word/2010/wordprocessingShape">
                    <wps:wsp>
                      <wps:cNvSpPr/>
                      <wps:spPr>
                        <a:xfrm>
                          <a:off x="0" y="0"/>
                          <a:ext cx="270344" cy="2464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183.7pt;margin-top:116.1pt;width:21.3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" filled="f" strokecolor="#243f60 [1604]" strokeweight="2pt"/>
            </w:pict>
          </mc:Fallback>
        </mc:AlternateContent>
      </w:r>
      <w:r>
        <w:t xml:space="preserve">Bitte beachten Sie, dass diese Personen z.B. in Altenpflegeheimen wohnen können, oder aber familiäre Kontaktpersonen sein können, oder Personen sein können, deren Risikostatus Sie gar nicht kennen (können). </w:t>
      </w:r>
      <w:r>
        <w:br/>
      </w:r>
      <w:r>
        <w:br/>
        <w:t xml:space="preserve">Bitte lassen Sie Ihren Hausarzt bzw. Hausärztin wissen, ob Sie in der nächsten Woche wahrscheinlich Kontakt mit Personen haben werden, die ein höheres Risiko für einen schwereren Verlauf haben. </w:t>
      </w:r>
      <w:r>
        <w:br/>
      </w:r>
      <w:r>
        <w:br/>
        <w:t xml:space="preserve">Haben Sie in den nächsten 7 Tagen wahrscheinlich Kontakt mit Personen, die ein höheres Risiko für einen schwereren Verlauf haben?            </w:t>
      </w:r>
      <w:r>
        <w:br/>
        <w:t xml:space="preserve">                                                                       Ja</w:t>
      </w:r>
      <w:r>
        <w:tab/>
      </w:r>
      <w:r>
        <w:tab/>
      </w:r>
      <w:r>
        <w:tab/>
      </w:r>
      <w:r>
        <w:tab/>
        <w:t xml:space="preserve">   Nein</w:t>
      </w:r>
      <w:r>
        <w:br/>
      </w:r>
      <w:r>
        <w:br/>
      </w:r>
    </w:p>
    <w:p>
      <w:pPr>
        <w:pStyle w:val="Listenabsatz"/>
        <w:numPr>
          <w:ilvl w:val="0"/>
          <w:numId w:val="2"/>
        </w:numPr>
      </w:pPr>
      <w:r>
        <w:t xml:space="preserve">Sollte bei Ihnen eine Infektion mit dem SARS-CoV-2 oder Influenzavirus nachgewiesen worden sein, ist anzuraten, dass zusammen mit Ihnen alle Haushaltskontaktpersonen für 5 Tage ihre Kontakte zu Personen außerhalb des Haushalts erheblich reduzieren. Sollte eine Person in Ihrem Haushalt in den 10 Tagen nach Ihrem eigenen Symptombeginn erkranken, sollte diese Person ab dem eigenen Erkrankungsbeginn für 3-5 Tage zu Hause bleiben und Kontakte reduzieren. </w:t>
      </w:r>
    </w:p>
    <w:p>
      <w:pPr>
        <w:pStyle w:val="Listenabsatz"/>
        <w:numPr>
          <w:ilvl w:val="0"/>
          <w:numId w:val="2"/>
        </w:numPr>
      </w:pPr>
      <w:r>
        <w:t>Sollten Sie Fragen haben, wie Sie sich verhalten sollen oder Sie sich Sorgen um Ihre eigene Gesundheit machen, kontaktieren Sie Ihren Hausarzt oder Ihre Hausärztin. Falls Sie keine Hausarztpraxis haben, kontaktieren Sie die Rufnummer 116/117 für weitere Informationen.</w:t>
      </w:r>
    </w:p>
    <w:p>
      <w:r>
        <w:t>Weitere Informationen finden Sie auch im Internet (link, QR-Code zu BZgA-Seiten)</w:t>
      </w:r>
    </w:p>
    <w:sectPr>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7DFE"/>
    <w:multiLevelType w:val="hybridMultilevel"/>
    <w:tmpl w:val="10BA270C"/>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6B4D52"/>
    <w:multiLevelType w:val="hybridMultilevel"/>
    <w:tmpl w:val="FEA6DC7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64C9C-738E-4BD3-B8C6-5E9D6CB7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90ADC-D903-43A4-B0E4-BEBFEBED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Udo</dc:creator>
  <cp:keywords/>
  <dc:description/>
  <cp:lastModifiedBy>Buchholz, Udo</cp:lastModifiedBy>
  <cp:revision>2</cp:revision>
  <dcterms:created xsi:type="dcterms:W3CDTF">2022-04-05T15:53:00Z</dcterms:created>
  <dcterms:modified xsi:type="dcterms:W3CDTF">2022-04-05T15:53:00Z</dcterms:modified>
</cp:coreProperties>
</file>