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14.1.2022: Kürzungen im Text und Anpassungen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Gruppe der Ungeimpften als sehr hoch, für die Gruppen der Genesen und Geimpften mit Grundimmunisierung (zweimalige Impfung) als hoch und für die Gruppe der Geimpften mit Auffrischimpfung (dreimalige Impfung) als moderat eingeschätzt.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Einerseits verbreitet sich die inzwischen dominante Omikronvariante, insbesondere BA.2 deutlich schneller und effektiver als die bisherigen Virusvarianten, andererseits kam es jedoch bisher - und das ist eine neue Entwicklung in der COVID-19-Pandemie - nicht in gleichem Verhältnis zu einer Erhöhung schwerer Erkrankungen und Todesfälle wie in den vorherigen Infektionswellen. Diese Einschätzung kann sich kurzfristig durch neue Erkenntnisse ändern, insbesondere bleibt die Auswirkung der zunehmenden Verbreitung der BA.2-Sublinie abzuwarten.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die Auswirkungen der Omikronwelle abzumildern um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Fallzahlen sind derzeit in allen Altersgruppen sehr hoch. Die Zahl schwerer Erkrankungen an COVID-19, die im Krankenhaus behandelt werden müssen und die Zahl der Todesfälle sind ebenfalls noch hoch.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 bietet grundsätzlich einen guten Schutz vor schwerer Erkrankung und Hospitalisierung durch COVID-19, dies gilt auch für die Omikronvariante.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Infektionsriskos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bleibt daher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Konkret bedeutet dies, dass auch weiterhin </w:t>
      </w:r>
      <w:r>
        <w:rPr>
          <w:rFonts w:ascii="Times New Roman" w:eastAsia="Times New Roman" w:hAnsi="Times New Roman" w:cs="Times New Roman"/>
          <w:b/>
          <w:bCs/>
          <w:sz w:val="24"/>
          <w:szCs w:val="24"/>
          <w:lang w:eastAsia="de-DE"/>
        </w:rPr>
        <w:t xml:space="preserve">nicht notwendige Kontakte reduziert </w:t>
      </w:r>
      <w:r>
        <w:rPr>
          <w:rFonts w:ascii="Times New Roman" w:eastAsia="Times New Roman" w:hAnsi="Times New Roman" w:cs="Times New Roman"/>
          <w:sz w:val="24"/>
          <w:szCs w:val="24"/>
          <w:lang w:eastAsia="de-DE"/>
        </w:rPr>
        <w:t>und Reisen vermieden werden sollten. Kontakte sollten auf einen engen, gleichbleibenden Kreis beschränkt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Größere Veranstaltungen und enge Kontaktsituationen, z.B. Tanzveranstaltungen und andere Feiern im öffentlichen und privaten Bereich tragen zur raschen Weiterverbreitung von SARS-CoV-2 bei und sollten daher vermieden werden.</w:t>
      </w:r>
      <w:r>
        <w:rPr>
          <w:rFonts w:ascii="Times New Roman" w:eastAsia="Times New Roman" w:hAnsi="Times New Roman" w:cs="Times New Roman"/>
          <w:sz w:val="24"/>
          <w:szCs w:val="24"/>
          <w:lang w:eastAsia="de-DE"/>
        </w:rPr>
        <w:t xml:space="preserve"> Insbesondere vor Kontakt zu besonders gefährdeten Personen sollte ein vollständiger Impfschutz vorliegen, zusätzlich sollte direkt vor dem Kontakt ein Test durchgeführt werden. Bei einer Warnung durch die Corona-Warn-App sollten die eigenen Kontakte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xml:space="preserve"> und bei Bedarf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ist grundsätzlich sehr leicht von Mensch zu Mensch übertragbar, dies gilt insbesondere für die derzeit vorherrschende Omikronvariante – und noch einmal verstärkt für die Sublinie BA.2.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überwiegenden Zahl der Infektionen verläuft COVID-19 mild. Die durch die in Deutschland bisher vorherrschende Omikronvariante BA.1 verursachte Erkrankung geht im Vergleich mit Infektionen durch die Deltavariante mit einem geringeren Hospitalisierungsrisiko einher, auch das Risiko, an einer SARS-CoV-2-Infektion zu versterben ist deutlich geringer als bei der Deltavariante. Es liegen international noch nicht ausreichend Daten vor, um die Eigenschaften der Omikron-Sublinie BA.2 hinsichtlich der Krankheitsschwere abschließend zu beurteilen. Generell können auch bei Erkrankungen durch die Omikronvariante schwerwiegende Krankheitssymptome, wie z. B. hohes Fieber auftreten. Die Wahrscheinlichkeit für schwere und auch tödliche Krankheitsverläufe steigt mit zunehmendem Alter und bei bestehenden Vorerkrankungen. Es kann jedoch auch ohne bekannte Vorerkrankungen und bei junge Erwachsene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erste Therapieansätze haben sich hier in klinischen Studien als wirksam erwiesen. Langzeitfolgen können auch nach leichten Verläufen auftreten.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erreichen teils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Omikronvariante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insbesondere Isolation Erkrankter),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Gesamtgesellschaftliche Anstrengungen sind weiterhin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5"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6"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28.02.2022</w:t>
      </w:r>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309D"/>
    <w:multiLevelType w:val="multilevel"/>
    <w:tmpl w:val="715E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F7326"/>
    <w:multiLevelType w:val="multilevel"/>
    <w:tmpl w:val="B44A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F194B-F222-45FD-AEAE-63D47573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889007">
      <w:bodyDiv w:val="1"/>
      <w:marLeft w:val="0"/>
      <w:marRight w:val="0"/>
      <w:marTop w:val="0"/>
      <w:marBottom w:val="0"/>
      <w:divBdr>
        <w:top w:val="none" w:sz="0" w:space="0" w:color="auto"/>
        <w:left w:val="none" w:sz="0" w:space="0" w:color="auto"/>
        <w:bottom w:val="none" w:sz="0" w:space="0" w:color="auto"/>
        <w:right w:val="none" w:sz="0" w:space="0" w:color="auto"/>
      </w:divBdr>
      <w:divsChild>
        <w:div w:id="1685354471">
          <w:marLeft w:val="0"/>
          <w:marRight w:val="0"/>
          <w:marTop w:val="0"/>
          <w:marBottom w:val="0"/>
          <w:divBdr>
            <w:top w:val="none" w:sz="0" w:space="0" w:color="auto"/>
            <w:left w:val="none" w:sz="0" w:space="0" w:color="auto"/>
            <w:bottom w:val="none" w:sz="0" w:space="0" w:color="auto"/>
            <w:right w:val="none" w:sz="0" w:space="0" w:color="auto"/>
          </w:divBdr>
        </w:div>
        <w:div w:id="372508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rki.de" TargetMode="External"/><Relationship Id="rId3" Type="http://schemas.openxmlformats.org/officeDocument/2006/relationships/settings" Target="settings.xml"/><Relationship Id="rId7" Type="http://schemas.openxmlformats.org/officeDocument/2006/relationships/hyperlink" Target="https://www.rki.de/DE/Content/InfAZ/N/Neuartiges_Coronavirus/Steckbrie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nCoV.html" TargetMode="External"/><Relationship Id="rId11" Type="http://schemas.openxmlformats.org/officeDocument/2006/relationships/theme" Target="theme/theme1.xml"/><Relationship Id="rId5" Type="http://schemas.openxmlformats.org/officeDocument/2006/relationships/hyperlink" Target="https://www.rki.de/DE/Content/InfAZ/N/Neuartiges_Coronavirus/Risikobewertung_Grundlage.html;jsessionid=E5190BCB899D981B98F92AA8F9D30014.internet072?nn=134908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ki.de/DE/Content/InfAZ/N/Neuartiges_Coronavirus/Situationsberichte/Gesam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1466</Words>
  <Characters>9242</Characters>
  <Application>Microsoft Office Word</Application>
  <DocSecurity>0</DocSecurity>
  <Lines>77</Lines>
  <Paragraphs>21</Paragraphs>
  <ScaleCrop>false</ScaleCrop>
  <HeadingPairs>
    <vt:vector size="4" baseType="variant">
      <vt:variant>
        <vt:lpstr>Titel</vt:lpstr>
      </vt:variant>
      <vt:variant>
        <vt:i4>1</vt:i4>
      </vt:variant>
      <vt:variant>
        <vt:lpstr>Überschriften</vt:lpstr>
      </vt:variant>
      <vt:variant>
        <vt:i4>10</vt:i4>
      </vt:variant>
    </vt:vector>
  </HeadingPairs>
  <TitlesOfParts>
    <vt:vector size="11" baseType="lpstr">
      <vt:lpstr/>
      <vt:lpstr>Risikobewertung zu COVID-19</vt:lpstr>
      <vt:lpstr>    Risikobewertung</vt:lpstr>
      <vt:lpstr>        Hintergrund</vt:lpstr>
      <vt:lpstr>        Empfehlungen</vt:lpstr>
      <vt:lpstr>        Übertragbarkeit</vt:lpstr>
      <vt:lpstr>        Krankheitsschwere</vt:lpstr>
      <vt:lpstr>        Ressourcenbelastung des Gesundheitssystems</vt:lpstr>
      <vt:lpstr>    Grundsätzliche Aspekte der Strategie zur Pandemiebewältigung</vt:lpstr>
      <vt:lpstr>    Grundprinzipien der Risikobewertung des RKI</vt:lpstr>
      <vt:lpstr>    Weitere Informationen</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an der Heiden, Maria</cp:lastModifiedBy>
  <cp:revision>1</cp:revision>
  <dcterms:created xsi:type="dcterms:W3CDTF">2022-04-21T06:18:00Z</dcterms:created>
  <dcterms:modified xsi:type="dcterms:W3CDTF">2022-04-21T06:19:00Z</dcterms:modified>
</cp:coreProperties>
</file>