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28.2.2022: Änderung der Risikobewertung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Risiko für schwere Erkrankungen lässt sich durch eine Grundimmunisierung (zweimalige Impfung) und insbesondere einer Auffrischimpfung (drei- oder viermalige Impfung) wesentlich reduzieren. Die aktuell dominante Omikronvariante, insbesondere BA.2 – hat sich deutlich schneller und effektiver verbreitet als die bisherigen Virusvarianten, jedoch kam es nicht in gleichem Verhältnis zu einer Erhöhung schwerer Erkrankungen und Todesfälle wie in den vorherigen Infektionswellen.</w:t>
      </w:r>
      <w:bookmarkStart w:id="0" w:name="_GoBack"/>
      <w:bookmarkEnd w:id="0"/>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 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weiterhin unbedingt erforderlich, </w:t>
      </w:r>
      <w:r>
        <w:rPr>
          <w:rFonts w:ascii="Times New Roman" w:eastAsia="Times New Roman" w:hAnsi="Times New Roman" w:cs="Times New Roman"/>
          <w:bCs/>
          <w:sz w:val="24"/>
          <w:szCs w:val="24"/>
          <w:lang w:eastAsia="de-DE"/>
        </w:rPr>
        <w:t>bei Symptomen einer neu auftretenden Atemwegserkrankung wie z.B. Schnupfen, Halsschmerzen oder Husten (unabhängig vom Impfstatus und Erregernachweis) für 5 Tage zuhause zu bleiben</w:t>
      </w:r>
      <w:r>
        <w:rPr>
          <w:rFonts w:ascii="Times New Roman" w:eastAsia="Times New Roman" w:hAnsi="Times New Roman" w:cs="Times New Roman"/>
          <w:sz w:val="24"/>
          <w:szCs w:val="24"/>
          <w:lang w:eastAsia="de-DE"/>
        </w:rPr>
        <w:t xml:space="preserve"> und bei Bedarf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einen guten Schutz vor schwerer Erkrankung und Hospitalisierung durch COVID-19, dies gilt auch für die Omikronvariante. Die Schließung von Impflücken und Auffrischimpfungen entsprechend den STIKO-Empfehlungen sind daher sehr wichtig. Die Schutzwirkung gegenüber einer Infektion lässt allerdings nach wenigen Monaten nach, sodass angesichts der weiterhin hohen Zahl von Neuinfektionen die konsequente Einhaltung der AHA+L-Regeln und eine Kontaktreduktion weiter zur Reduktion des Infektionsrisikos erforderlich sind.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Omikronvariante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die sich inzwischen in Deutschland durchgesetzt hat. Die Übertragung durch Tröpfchen und Aerosole spielt eine besondere Rolle – v.a. in Innenräumen. Das Infektionsrisiko kann selbstwirksam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Omikronvariante verursachte Erkrankung geht im Vergleich mit Infektionen durch die Deltavariante mit einem geringeren Hospitalisierungsrisiko einher, auch das Risiko, an der Erkrankung/COVID-19 zu versterben ist deutlich geringer als bei der Deltavariante. Generell können auch bei Infektionen durch die Omikronvarianten Symptome unterschiedlicher Krankheitsschwere auftreten. Die Wahrscheinlichkeit für schwere und auch tödliche Krankheitsverläufe steigt mit zunehmendem Alter und bei bestehenden Vorerkrankungen.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Therapieansätze haben sich hier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hoch als in vorherigen Wellen. Da die verfügbaren Impfstoffe einen guten Schutz vor einer schweren COVID-19-Erkrankung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w:t>
      </w:r>
      <w:r>
        <w:rPr>
          <w:rFonts w:ascii="Times New Roman" w:eastAsia="Times New Roman" w:hAnsi="Times New Roman" w:cs="Times New Roman"/>
          <w:sz w:val="24"/>
          <w:szCs w:val="24"/>
          <w:lang w:eastAsia="de-DE"/>
        </w:rPr>
        <w:lastRenderedPageBreak/>
        <w:t>Patientinnen und Patienten mit anderen schweren Erkrankungen kommen. Dies kann z.B. passieren, wenn die Influenza-Aktivität erheblich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Pandemie ist nicht vorbei! Gesamtgesellschaftliche Anstrengungen sind weiterhin nötig, um das Krankheitsgeschehen weiter unter Kontrolle zu behalten. Jede Bürgerin/jeder Bürger bzw. jede Einrichtung kann durch 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5"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6"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xx.04.2022</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rki.de" TargetMode="External"/><Relationship Id="rId3" Type="http://schemas.openxmlformats.org/officeDocument/2006/relationships/settings" Target="settings.xml"/><Relationship Id="rId7" Type="http://schemas.openxmlformats.org/officeDocument/2006/relationships/hyperlink" Target="https://www.rki.de/DE/Content/InfAZ/N/Neuartiges_Coronavirus/Steckbrie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nCoV.html" TargetMode="External"/><Relationship Id="rId11" Type="http://schemas.openxmlformats.org/officeDocument/2006/relationships/theme" Target="theme/theme1.xml"/><Relationship Id="rId5" Type="http://schemas.openxmlformats.org/officeDocument/2006/relationships/hyperlink" Target="https://www.rki.de/DE/Content/InfAZ/N/Neuartiges_Coronavirus/Risikobewertung_Grundlage.html;jsessionid=D3F622A8BE7E65B9F48A58C8F4803AFC.internet061?nn=134908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Situationsberichte/Gesam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7988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5</cp:revision>
  <dcterms:created xsi:type="dcterms:W3CDTF">2022-04-20T13:40:00Z</dcterms:created>
  <dcterms:modified xsi:type="dcterms:W3CDTF">2022-04-20T13:42:00Z</dcterms:modified>
</cp:coreProperties>
</file>