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an der Heiden, Maria" w:date="2022-06-29T13:54:00Z">
        <w:r>
          <w:rPr>
            <w:rFonts w:ascii="Times New Roman" w:eastAsia="Times New Roman" w:hAnsi="Times New Roman" w:cs="Times New Roman"/>
            <w:i/>
            <w:iCs/>
            <w:sz w:val="24"/>
            <w:szCs w:val="24"/>
            <w:lang w:eastAsia="de-DE"/>
          </w:rPr>
          <w:t>5.5.2022</w:t>
        </w:r>
      </w:ins>
      <w:del w:id="1" w:author="an der Heiden, Maria" w:date="2022-06-29T13:54:00Z">
        <w:r>
          <w:rPr>
            <w:rFonts w:ascii="Times New Roman" w:eastAsia="Times New Roman" w:hAnsi="Times New Roman" w:cs="Times New Roman"/>
            <w:i/>
            <w:iCs/>
            <w:sz w:val="24"/>
            <w:szCs w:val="24"/>
            <w:lang w:eastAsia="de-DE"/>
          </w:rPr>
          <w:delText>28.2.2022</w:delText>
        </w:r>
      </w:del>
      <w:r>
        <w:rPr>
          <w:rFonts w:ascii="Times New Roman" w:eastAsia="Times New Roman" w:hAnsi="Times New Roman" w:cs="Times New Roman"/>
          <w:i/>
          <w:iCs/>
          <w:sz w:val="24"/>
          <w:szCs w:val="24"/>
          <w:lang w:eastAsia="de-DE"/>
        </w:rPr>
        <w:t xml:space="preserve">: </w:t>
      </w:r>
      <w:del w:id="2" w:author="an der Heiden, Maria" w:date="2022-06-29T13:55:00Z">
        <w:r>
          <w:rPr>
            <w:rFonts w:ascii="Times New Roman" w:eastAsia="Times New Roman" w:hAnsi="Times New Roman" w:cs="Times New Roman"/>
            <w:i/>
            <w:iCs/>
            <w:sz w:val="24"/>
            <w:szCs w:val="24"/>
            <w:lang w:eastAsia="de-DE"/>
          </w:rPr>
          <w:delText>Änderung der Risikobewertung und weitere</w:delText>
        </w:r>
      </w:del>
      <w:ins w:id="3" w:author="an der Heiden, Maria" w:date="2022-06-29T13:55:00Z">
        <w:r>
          <w:rPr>
            <w:rFonts w:ascii="Times New Roman" w:eastAsia="Times New Roman" w:hAnsi="Times New Roman" w:cs="Times New Roman"/>
            <w:i/>
            <w:iCs/>
            <w:sz w:val="24"/>
            <w:szCs w:val="24"/>
            <w:lang w:eastAsia="de-DE"/>
          </w:rPr>
          <w:t>R</w:t>
        </w:r>
      </w:ins>
      <w:del w:id="4" w:author="an der Heiden, Maria" w:date="2022-06-29T13:55:00Z">
        <w:r>
          <w:rPr>
            <w:rFonts w:ascii="Times New Roman" w:eastAsia="Times New Roman" w:hAnsi="Times New Roman" w:cs="Times New Roman"/>
            <w:i/>
            <w:iCs/>
            <w:sz w:val="24"/>
            <w:szCs w:val="24"/>
            <w:lang w:eastAsia="de-DE"/>
          </w:rPr>
          <w:delText xml:space="preserve"> r</w:delText>
        </w:r>
      </w:del>
      <w:r>
        <w:rPr>
          <w:rFonts w:ascii="Times New Roman" w:eastAsia="Times New Roman" w:hAnsi="Times New Roman" w:cs="Times New Roman"/>
          <w:i/>
          <w:iCs/>
          <w:sz w:val="24"/>
          <w:szCs w:val="24"/>
          <w:lang w:eastAsia="de-DE"/>
        </w:rPr>
        <w:t>edaktionelle Änderungen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Risiko für schwere Erkrankungen lässt sich durch eine Grundimmunisierung (zweimalige Impfung) und insbesondere eine Auffrischimpfung (drei- oder viermalige Impfung) wesentlich reduzieren. Die aktuell dominante Omikronvariante</w:t>
      </w:r>
      <w:ins w:id="5" w:author="Rexroth, Ute" w:date="2022-06-22T11:48:00Z">
        <w:r>
          <w:rPr>
            <w:rFonts w:ascii="Times New Roman" w:eastAsia="Times New Roman" w:hAnsi="Times New Roman" w:cs="Times New Roman"/>
            <w:sz w:val="24"/>
            <w:szCs w:val="24"/>
            <w:lang w:eastAsia="de-DE"/>
          </w:rPr>
          <w:t xml:space="preserve"> </w:t>
        </w:r>
      </w:ins>
      <w:del w:id="6" w:author="Rexroth, Ute" w:date="2022-06-22T11:48:00Z">
        <w:r>
          <w:rPr>
            <w:rFonts w:ascii="Times New Roman" w:eastAsia="Times New Roman" w:hAnsi="Times New Roman" w:cs="Times New Roman"/>
            <w:sz w:val="24"/>
            <w:szCs w:val="24"/>
            <w:lang w:eastAsia="de-DE"/>
          </w:rPr>
          <w:delText xml:space="preserve">, insbesondere BA.2, </w:delText>
        </w:r>
      </w:del>
      <w:r>
        <w:rPr>
          <w:rFonts w:ascii="Times New Roman" w:eastAsia="Times New Roman" w:hAnsi="Times New Roman" w:cs="Times New Roman"/>
          <w:sz w:val="24"/>
          <w:szCs w:val="24"/>
          <w:lang w:eastAsia="de-DE"/>
        </w:rPr>
        <w:t>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Aktuelle Empfehlungen für nachweislich mit SARS-CoV-2 infizierte Personen sowie ihre engen Kontaktpersonen finden sich unter: </w:t>
      </w:r>
      <w:hyperlink r:id="rId5"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einen guten Schutz vor schwerer Erkrankung und Hospitalisierung durch COVID-19, dies gilt auch für die Omikronvariante. Die Schließung von Impflücken und Auffrischimpfungen entsprechend den STIKO-Empfehlungen (</w:t>
      </w:r>
      <w:hyperlink r:id="rId6"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sehr wichtig. Die Schutzwirkung gegenüber einer Infektion lässt allerdings nach wenigen Monaten nach, sodass angesichts der weiterhin hohen Zahl von Neuinfektionen die konsequente Einhaltung der AHA+L-Regeln (Abstand halten, Hygiene beachten, im Alltag Maske tragen, regelmäßig lüften) und eine Kontaktreduktion zur </w:t>
      </w:r>
      <w:r>
        <w:rPr>
          <w:rFonts w:ascii="Times New Roman" w:eastAsia="Times New Roman" w:hAnsi="Times New Roman" w:cs="Times New Roman"/>
          <w:sz w:val="24"/>
          <w:szCs w:val="24"/>
          <w:lang w:eastAsia="de-DE"/>
        </w:rPr>
        <w:lastRenderedPageBreak/>
        <w:t>Reduktion des Infektionsrisikos erforderlich 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Omikronvariante </w:t>
      </w:r>
      <w:del w:id="7" w:author="Rexroth, Ute" w:date="2022-06-22T11:53:00Z">
        <w:r>
          <w:rPr>
            <w:rFonts w:ascii="Times New Roman" w:eastAsia="Times New Roman" w:hAnsi="Times New Roman" w:cs="Times New Roman"/>
            <w:sz w:val="24"/>
            <w:szCs w:val="24"/>
            <w:lang w:eastAsia="de-DE"/>
          </w:rPr>
          <w:delText xml:space="preserve">– und noch einmal verstärkt für die Sublinie BA.2, </w:delText>
        </w:r>
      </w:del>
      <w:r>
        <w:rPr>
          <w:rFonts w:ascii="Times New Roman" w:eastAsia="Times New Roman" w:hAnsi="Times New Roman" w:cs="Times New Roman"/>
          <w:sz w:val="24"/>
          <w:szCs w:val="24"/>
          <w:lang w:eastAsia="de-DE"/>
        </w:rPr>
        <w:t xml:space="preserve">die sich inzwischen in Deutschland durchgesetzt hat. Die Übertragung durch Tröpfchen und Aerosole spielt eine besondere Rolle – v.a. in Innenräumen. Das Infektionsrisiko kann </w:t>
      </w:r>
      <w:del w:id="8" w:author="Mankertz, Annette" w:date="2022-06-22T12:21:00Z">
        <w:r>
          <w:rPr>
            <w:rFonts w:ascii="Times New Roman" w:eastAsia="Times New Roman" w:hAnsi="Times New Roman" w:cs="Times New Roman"/>
            <w:sz w:val="24"/>
            <w:szCs w:val="24"/>
            <w:lang w:eastAsia="de-DE"/>
          </w:rPr>
          <w:delText>selbst</w:delText>
        </w:r>
      </w:del>
      <w:r>
        <w:rPr>
          <w:rFonts w:ascii="Times New Roman" w:eastAsia="Times New Roman" w:hAnsi="Times New Roman" w:cs="Times New Roman"/>
          <w:sz w:val="24"/>
          <w:szCs w:val="24"/>
          <w:lang w:eastAsia="de-DE"/>
        </w:rPr>
        <w:t>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w:t>
      </w:r>
      <w:bookmarkStart w:id="9" w:name="_GoBack"/>
      <w:bookmarkEnd w:id="9"/>
      <w:r>
        <w:rPr>
          <w:rFonts w:ascii="Times New Roman" w:eastAsia="Times New Roman" w:hAnsi="Times New Roman" w:cs="Times New Roman"/>
          <w:sz w:val="24"/>
          <w:szCs w:val="24"/>
          <w:lang w:eastAsia="de-DE"/>
        </w:rPr>
        <w:t xml:space="preserve">Omikronvariante verursachte Erkrankung geht im Vergleich mit Infektionen durch die Deltavariante mit einem geringeren Hospitalisierungsrisiko einher, auch das Risiko, an der Erkrankung/COVID-19 zu versterben, ist deutlich geringer als bei der Deltavariante. Generell können auch bei Infektionen durch die Omikronvarianten Symptome unterschiedlicher Krankheitsschwere auftreten. Die Wahrscheinlichkeit für schwere und </w:t>
      </w:r>
      <w:del w:id="10" w:author="Mankertz, Annette" w:date="2022-06-22T12:22: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ins w:id="11" w:author="Mankertz, Annette" w:date="2022-06-22T12:23:00Z">
        <w:r>
          <w:rPr>
            <w:rFonts w:ascii="Times New Roman" w:eastAsia="Times New Roman" w:hAnsi="Times New Roman" w:cs="Times New Roman"/>
            <w:sz w:val="24"/>
            <w:szCs w:val="24"/>
            <w:lang w:eastAsia="de-DE"/>
          </w:rPr>
          <w:t xml:space="preserve">die zur Verfügung stehenden </w:t>
        </w:r>
      </w:ins>
      <w:r>
        <w:rPr>
          <w:rFonts w:ascii="Times New Roman" w:eastAsia="Times New Roman" w:hAnsi="Times New Roman" w:cs="Times New Roman"/>
          <w:sz w:val="24"/>
          <w:szCs w:val="24"/>
          <w:lang w:eastAsia="de-DE"/>
        </w:rPr>
        <w:t xml:space="preserve">Therapieansätze haben sich </w:t>
      </w:r>
      <w:del w:id="12" w:author="Mankertz, Annette" w:date="2022-06-22T12:23:00Z">
        <w:r>
          <w:rPr>
            <w:rFonts w:ascii="Times New Roman" w:eastAsia="Times New Roman" w:hAnsi="Times New Roman" w:cs="Times New Roman"/>
            <w:sz w:val="24"/>
            <w:szCs w:val="24"/>
            <w:lang w:eastAsia="de-DE"/>
          </w:rPr>
          <w:delText xml:space="preserve">hier </w:delText>
        </w:r>
      </w:del>
      <w:r>
        <w:rPr>
          <w:rFonts w:ascii="Times New Roman" w:eastAsia="Times New Roman" w:hAnsi="Times New Roman" w:cs="Times New Roman"/>
          <w:sz w:val="24"/>
          <w:szCs w:val="24"/>
          <w:lang w:eastAsia="de-DE"/>
        </w:rPr>
        <w:t>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w:t>
      </w:r>
      <w:del w:id="13" w:author="Mankertz, Annette" w:date="2022-06-22T12:25:00Z">
        <w:r>
          <w:rPr>
            <w:rFonts w:ascii="Times New Roman" w:eastAsia="Times New Roman" w:hAnsi="Times New Roman" w:cs="Times New Roman"/>
            <w:sz w:val="24"/>
            <w:szCs w:val="24"/>
            <w:lang w:eastAsia="de-DE"/>
          </w:rPr>
          <w:delText xml:space="preserve">hoch </w:delText>
        </w:r>
      </w:del>
      <w:ins w:id="14" w:author="Mankertz, Annette" w:date="2022-06-22T12:25:00Z">
        <w:r>
          <w:rPr>
            <w:rFonts w:ascii="Times New Roman" w:eastAsia="Times New Roman" w:hAnsi="Times New Roman" w:cs="Times New Roman"/>
            <w:sz w:val="24"/>
            <w:szCs w:val="24"/>
            <w:lang w:eastAsia="de-DE"/>
          </w:rPr>
          <w:t xml:space="preserve">stark </w:t>
        </w:r>
      </w:ins>
      <w:r>
        <w:rPr>
          <w:rFonts w:ascii="Times New Roman" w:eastAsia="Times New Roman" w:hAnsi="Times New Roman" w:cs="Times New Roman"/>
          <w:sz w:val="24"/>
          <w:szCs w:val="24"/>
          <w:lang w:eastAsia="de-DE"/>
        </w:rPr>
        <w:t xml:space="preserve">als in vorherigen Wellen. Da die verfügbaren Impfstoffe einen guten Schutz vor einer schweren COVID-19-Erkrankung bieten, ist grundsätzlich davon </w:t>
      </w:r>
      <w:r>
        <w:rPr>
          <w:rFonts w:ascii="Times New Roman" w:eastAsia="Times New Roman" w:hAnsi="Times New Roman" w:cs="Times New Roman"/>
          <w:sz w:val="24"/>
          <w:szCs w:val="24"/>
          <w:lang w:eastAsia="de-DE"/>
        </w:rPr>
        <w:lastRenderedPageBreak/>
        <w:t>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w:t>
      </w:r>
      <w:ins w:id="15" w:author="Mankertz, Annette" w:date="2022-06-22T12:26:00Z">
        <w:r>
          <w:rPr>
            <w:rFonts w:ascii="Times New Roman" w:eastAsia="Times New Roman" w:hAnsi="Times New Roman" w:cs="Times New Roman"/>
            <w:sz w:val="24"/>
            <w:szCs w:val="24"/>
            <w:lang w:eastAsia="de-DE"/>
          </w:rPr>
          <w:t>er Effekt</w:t>
        </w:r>
      </w:ins>
      <w:r>
        <w:rPr>
          <w:rFonts w:ascii="Times New Roman" w:eastAsia="Times New Roman" w:hAnsi="Times New Roman" w:cs="Times New Roman"/>
          <w:sz w:val="24"/>
          <w:szCs w:val="24"/>
          <w:lang w:eastAsia="de-DE"/>
        </w:rPr>
        <w:t xml:space="preserve"> kann </w:t>
      </w:r>
      <w:ins w:id="16" w:author="Mankertz, Annette" w:date="2022-06-22T12:26:00Z">
        <w:r>
          <w:rPr>
            <w:rFonts w:ascii="Times New Roman" w:eastAsia="Times New Roman" w:hAnsi="Times New Roman" w:cs="Times New Roman"/>
            <w:sz w:val="24"/>
            <w:szCs w:val="24"/>
            <w:lang w:eastAsia="de-DE"/>
          </w:rPr>
          <w:t xml:space="preserve">sich durch Zunahme anderer respiratorischer Erkrankungen </w:t>
        </w:r>
      </w:ins>
      <w:r>
        <w:rPr>
          <w:rFonts w:ascii="Times New Roman" w:eastAsia="Times New Roman" w:hAnsi="Times New Roman" w:cs="Times New Roman"/>
          <w:sz w:val="24"/>
          <w:szCs w:val="24"/>
          <w:lang w:eastAsia="de-DE"/>
        </w:rPr>
        <w:t xml:space="preserve">z.B. </w:t>
      </w:r>
      <w:del w:id="17" w:author="Mankertz, Annette" w:date="2022-06-22T12:26:00Z">
        <w:r>
          <w:rPr>
            <w:rFonts w:ascii="Times New Roman" w:eastAsia="Times New Roman" w:hAnsi="Times New Roman" w:cs="Times New Roman"/>
            <w:sz w:val="24"/>
            <w:szCs w:val="24"/>
            <w:lang w:eastAsia="de-DE"/>
          </w:rPr>
          <w:delText>passieren, wenn die</w:delText>
        </w:r>
      </w:del>
      <w:ins w:id="18" w:author="Mankertz, Annette" w:date="2022-06-22T12:26:00Z">
        <w:r>
          <w:rPr>
            <w:rFonts w:ascii="Times New Roman" w:eastAsia="Times New Roman" w:hAnsi="Times New Roman" w:cs="Times New Roman"/>
            <w:sz w:val="24"/>
            <w:szCs w:val="24"/>
            <w:lang w:eastAsia="de-DE"/>
          </w:rPr>
          <w:t>durch</w:t>
        </w:r>
      </w:ins>
      <w:r>
        <w:rPr>
          <w:rFonts w:ascii="Times New Roman" w:eastAsia="Times New Roman" w:hAnsi="Times New Roman" w:cs="Times New Roman"/>
          <w:sz w:val="24"/>
          <w:szCs w:val="24"/>
          <w:lang w:eastAsia="de-DE"/>
        </w:rPr>
        <w:t xml:space="preserve"> Influenza</w:t>
      </w:r>
      <w:del w:id="19" w:author="Mankertz, Annette" w:date="2022-06-22T12:26:00Z">
        <w:r>
          <w:rPr>
            <w:rFonts w:ascii="Times New Roman" w:eastAsia="Times New Roman" w:hAnsi="Times New Roman" w:cs="Times New Roman"/>
            <w:sz w:val="24"/>
            <w:szCs w:val="24"/>
            <w:lang w:eastAsia="de-DE"/>
          </w:rPr>
          <w:delText>-Aktivität</w:delText>
        </w:r>
      </w:del>
      <w:r>
        <w:rPr>
          <w:rFonts w:ascii="Times New Roman" w:eastAsia="Times New Roman" w:hAnsi="Times New Roman" w:cs="Times New Roman"/>
          <w:sz w:val="24"/>
          <w:szCs w:val="24"/>
          <w:lang w:eastAsia="de-DE"/>
        </w:rPr>
        <w:t xml:space="preserve"> erheblich </w:t>
      </w:r>
      <w:del w:id="20" w:author="Mankertz, Annette" w:date="2022-06-22T12:26:00Z">
        <w:r>
          <w:rPr>
            <w:rFonts w:ascii="Times New Roman" w:eastAsia="Times New Roman" w:hAnsi="Times New Roman" w:cs="Times New Roman"/>
            <w:sz w:val="24"/>
            <w:szCs w:val="24"/>
            <w:lang w:eastAsia="de-DE"/>
          </w:rPr>
          <w:delText>ansteigt</w:delText>
        </w:r>
      </w:del>
      <w:ins w:id="21" w:author="Mankertz, Annette" w:date="2022-06-22T12:27:00Z">
        <w:r>
          <w:rPr>
            <w:rFonts w:ascii="Times New Roman" w:eastAsia="Times New Roman" w:hAnsi="Times New Roman" w:cs="Times New Roman"/>
            <w:sz w:val="24"/>
            <w:szCs w:val="24"/>
            <w:lang w:eastAsia="de-DE"/>
          </w:rPr>
          <w:t>verstärken</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t>
      </w:r>
      <w:ins w:id="22" w:author="an der Heiden, Maria" w:date="2022-06-29T10:51: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eine </w:t>
      </w:r>
      <w:del w:id="23" w:author="an der Heiden, Maria" w:date="2022-06-29T10:51:00Z">
        <w:r>
          <w:rPr>
            <w:rFonts w:ascii="Times New Roman" w:eastAsia="Times New Roman" w:hAnsi="Times New Roman" w:cs="Times New Roman"/>
            <w:sz w:val="24"/>
            <w:szCs w:val="24"/>
            <w:lang w:eastAsia="de-DE"/>
          </w:rPr>
          <w:delText>weiter zunehmende</w:delText>
        </w:r>
      </w:del>
      <w:ins w:id="24" w:author="an der Heiden, Maria" w:date="2022-06-29T10:51:00Z">
        <w:r>
          <w:rPr>
            <w:rFonts w:ascii="Times New Roman" w:eastAsia="Times New Roman" w:hAnsi="Times New Roman" w:cs="Times New Roman"/>
            <w:sz w:val="24"/>
            <w:szCs w:val="24"/>
            <w:lang w:eastAsia="de-DE"/>
          </w:rPr>
          <w:t>wichtige</w:t>
        </w:r>
      </w:ins>
      <w:r>
        <w:rPr>
          <w:rFonts w:ascii="Times New Roman" w:eastAsia="Times New Roman" w:hAnsi="Times New Roman" w:cs="Times New Roman"/>
          <w:sz w:val="24"/>
          <w:szCs w:val="24"/>
          <w:lang w:eastAsia="de-DE"/>
        </w:rPr>
        <w:t xml:space="preserv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Pandemie ist nicht vorbei! Gesamtgesellschaftliche Anstrengungen sind weiterhin nötig, um das Krankheitsgeschehen weiter unter Kontrolle zu behalten. Jede Bürgerin/jeder Bürger bzw. jede Einrichtung kann durch </w:t>
      </w:r>
      <w:ins w:id="25" w:author="Mankertz, Annette" w:date="2022-06-22T12:29:00Z">
        <w:r>
          <w:rPr>
            <w:rFonts w:ascii="Times New Roman" w:eastAsia="Times New Roman" w:hAnsi="Times New Roman" w:cs="Times New Roman"/>
            <w:sz w:val="24"/>
            <w:szCs w:val="24"/>
            <w:lang w:eastAsia="de-DE"/>
          </w:rPr>
          <w:t xml:space="preserve">Nutzen der </w:t>
        </w:r>
      </w:ins>
      <w:r>
        <w:rPr>
          <w:rFonts w:ascii="Times New Roman" w:eastAsia="Times New Roman" w:hAnsi="Times New Roman" w:cs="Times New Roman"/>
          <w:sz w:val="24"/>
          <w:szCs w:val="24"/>
          <w:lang w:eastAsia="de-DE"/>
        </w:rPr>
        <w:t>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pPr>
      <w:r>
        <w:rPr>
          <w:rFonts w:ascii="Times New Roman" w:eastAsia="Times New Roman" w:hAnsi="Times New Roman" w:cs="Times New Roman"/>
          <w:sz w:val="24"/>
          <w:szCs w:val="24"/>
          <w:lang w:eastAsia="de-DE"/>
        </w:rPr>
        <w:t xml:space="preserve">Stand: </w:t>
      </w:r>
      <w:ins w:id="26" w:author="an der Heiden, Maria" w:date="2022-06-29T13:55:00Z">
        <w:r>
          <w:rPr>
            <w:rFonts w:ascii="Times New Roman" w:eastAsia="Times New Roman" w:hAnsi="Times New Roman" w:cs="Times New Roman"/>
            <w:sz w:val="24"/>
            <w:szCs w:val="24"/>
            <w:lang w:eastAsia="de-DE"/>
          </w:rPr>
          <w:t>29</w:t>
        </w:r>
      </w:ins>
      <w:del w:id="27" w:author="an der Heiden, Maria" w:date="2022-06-29T13:55:00Z">
        <w:r>
          <w:rPr>
            <w:rFonts w:ascii="Times New Roman" w:eastAsia="Times New Roman" w:hAnsi="Times New Roman" w:cs="Times New Roman"/>
            <w:sz w:val="24"/>
            <w:szCs w:val="24"/>
            <w:lang w:eastAsia="de-DE"/>
          </w:rPr>
          <w:delText>05</w:delText>
        </w:r>
      </w:del>
      <w:r>
        <w:rPr>
          <w:rFonts w:ascii="Times New Roman" w:eastAsia="Times New Roman" w:hAnsi="Times New Roman" w:cs="Times New Roman"/>
          <w:sz w:val="24"/>
          <w:szCs w:val="24"/>
          <w:lang w:eastAsia="de-DE"/>
        </w:rPr>
        <w:t>.</w:t>
      </w:r>
      <w:ins w:id="28" w:author="an der Heiden, Maria" w:date="2022-06-29T13:55:00Z">
        <w:r>
          <w:rPr>
            <w:rFonts w:ascii="Times New Roman" w:eastAsia="Times New Roman" w:hAnsi="Times New Roman" w:cs="Times New Roman"/>
            <w:sz w:val="24"/>
            <w:szCs w:val="24"/>
            <w:lang w:eastAsia="de-DE"/>
          </w:rPr>
          <w:t>06</w:t>
        </w:r>
      </w:ins>
      <w:del w:id="29" w:author="an der Heiden, Maria" w:date="2022-06-29T13:55:00Z">
        <w:r>
          <w:rPr>
            <w:rFonts w:ascii="Times New Roman" w:eastAsia="Times New Roman" w:hAnsi="Times New Roman" w:cs="Times New Roman"/>
            <w:sz w:val="24"/>
            <w:szCs w:val="24"/>
            <w:lang w:eastAsia="de-DE"/>
          </w:rPr>
          <w:delText>05</w:delText>
        </w:r>
      </w:del>
      <w:r>
        <w:rPr>
          <w:rFonts w:ascii="Times New Roman" w:eastAsia="Times New Roman" w:hAnsi="Times New Roman" w:cs="Times New Roman"/>
          <w:sz w:val="24"/>
          <w:szCs w:val="24"/>
          <w:lang w:eastAsia="de-DE"/>
        </w:rPr>
        <w:t>.2022</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023"/>
    <w:multiLevelType w:val="multilevel"/>
    <w:tmpl w:val="E69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E06FB"/>
    <w:multiLevelType w:val="multilevel"/>
    <w:tmpl w:val="DCC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rson w15:author="Rexroth, Ute">
    <w15:presenceInfo w15:providerId="None" w15:userId="Rexroth, Ute"/>
  </w15:person>
  <w15:person w15:author="Mankertz, Annette">
    <w15:presenceInfo w15:providerId="None" w15:userId="Mankertz, 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0921-D0E0-4260-A2FA-2D2980AF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84412">
      <w:bodyDiv w:val="1"/>
      <w:marLeft w:val="0"/>
      <w:marRight w:val="0"/>
      <w:marTop w:val="0"/>
      <w:marBottom w:val="0"/>
      <w:divBdr>
        <w:top w:val="none" w:sz="0" w:space="0" w:color="auto"/>
        <w:left w:val="none" w:sz="0" w:space="0" w:color="auto"/>
        <w:bottom w:val="none" w:sz="0" w:space="0" w:color="auto"/>
        <w:right w:val="none" w:sz="0" w:space="0" w:color="auto"/>
      </w:divBdr>
      <w:divsChild>
        <w:div w:id="1374040366">
          <w:marLeft w:val="0"/>
          <w:marRight w:val="0"/>
          <w:marTop w:val="0"/>
          <w:marBottom w:val="0"/>
          <w:divBdr>
            <w:top w:val="none" w:sz="0" w:space="0" w:color="auto"/>
            <w:left w:val="none" w:sz="0" w:space="0" w:color="auto"/>
            <w:bottom w:val="none" w:sz="0" w:space="0" w:color="auto"/>
            <w:right w:val="none" w:sz="0" w:space="0" w:color="auto"/>
          </w:divBdr>
        </w:div>
        <w:div w:id="110141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9D2684160116146F807076660AD39A14.internet052?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ekt/Impfen/ImpfungenAZ/COVID-19/Impfempfehlung-Zusfassung.html;jsessionid=9D2684160116146F807076660AD39A14.internet05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Quarantaene/Absonderung.html;jsessionid=9D2684160116146F807076660AD39A14.internet05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8807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6</cp:revision>
  <dcterms:created xsi:type="dcterms:W3CDTF">2022-06-29T11:54:00Z</dcterms:created>
  <dcterms:modified xsi:type="dcterms:W3CDTF">2022-06-29T12:07:00Z</dcterms:modified>
</cp:coreProperties>
</file>