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Die „COVID-19-lage-AG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06.07.2022;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</w:t>
          </w:r>
          <w:proofErr w:type="gramStart"/>
          <w:r>
            <w:rPr>
              <w:b/>
              <w:i/>
              <w:sz w:val="22"/>
            </w:rPr>
            <w:t>2,FG</w:t>
          </w:r>
          <w:proofErr w:type="gramEnd"/>
          <w:r>
            <w:rPr>
              <w:b/>
              <w:i/>
              <w:sz w:val="22"/>
            </w:rPr>
            <w:t>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65"/>
        <w:gridCol w:w="175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752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(14-tägig)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>Psychische Gesundheit (alle 4 Wochen):</w:t>
            </w:r>
          </w:p>
          <w:p>
            <w:pPr>
              <w:pStyle w:val="Listenabsatz"/>
              <w:spacing w:after="200"/>
              <w:ind w:left="1440"/>
            </w:pPr>
            <w:r>
              <w:t xml:space="preserve">Erste Ergebnisse von </w:t>
            </w:r>
            <w:proofErr w:type="spellStart"/>
            <w:r>
              <w:t>CoMobu</w:t>
            </w:r>
            <w:proofErr w:type="spellEnd"/>
            <w:r>
              <w:t xml:space="preserve"> 2: </w:t>
            </w:r>
            <w:proofErr w:type="spellStart"/>
            <w:r>
              <w:t>Seroprävalenz</w:t>
            </w:r>
            <w:proofErr w:type="spellEnd"/>
            <w:r>
              <w:t xml:space="preserve"> von Antikörpern gegen SARS-CoV-2, Anteil Geimpfter und Infizierter bis Ende Februar 2022</w:t>
            </w:r>
          </w:p>
        </w:tc>
        <w:tc>
          <w:tcPr>
            <w:tcW w:w="1752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MF4</w:t>
            </w:r>
            <w:r>
              <w:br/>
              <w:t>FG36, FG17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F1/MF2</w:t>
            </w:r>
          </w:p>
          <w:p>
            <w:r>
              <w:t>P4</w:t>
            </w:r>
          </w:p>
          <w:p>
            <w:r>
              <w:t>Abt. 2:</w:t>
            </w:r>
          </w:p>
          <w:p>
            <w:r>
              <w:t>Antje Gößwald (FG23)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65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752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65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52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Vorschlag Satz zu Long-COVID-19</w:t>
            </w:r>
          </w:p>
        </w:tc>
        <w:tc>
          <w:tcPr>
            <w:tcW w:w="1752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52" w:type="dxa"/>
          </w:tcPr>
          <w:p>
            <w:r>
              <w:t>Wieler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752" w:type="dxa"/>
          </w:tcPr>
          <w:p>
            <w:r>
              <w:t>BZgA</w:t>
            </w:r>
          </w:p>
          <w:p>
            <w:r>
              <w:t>Presse, P1</w:t>
            </w:r>
          </w:p>
        </w:tc>
      </w:tr>
    </w:tbl>
    <w:p>
      <w:r>
        <w:br w:type="page"/>
      </w: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65"/>
        <w:gridCol w:w="1752"/>
      </w:tblGrid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Zwischenbericht COVID-19</w:t>
            </w:r>
          </w:p>
        </w:tc>
        <w:tc>
          <w:tcPr>
            <w:tcW w:w="1752" w:type="dxa"/>
          </w:tcPr>
          <w:p/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752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65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bookmarkStart w:id="0" w:name="_GoBack"/>
            <w:r>
              <w:t xml:space="preserve">Lückenhafte Besetzung 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Vorschläge Frequenzreduktion Berichterstattung</w:t>
            </w:r>
            <w:bookmarkEnd w:id="0"/>
          </w:p>
        </w:tc>
        <w:tc>
          <w:tcPr>
            <w:tcW w:w="1752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Andere Themen anlassbezogen </w:t>
            </w:r>
            <w:r>
              <w:t xml:space="preserve">(z.B. Internationales, Labordiagnostik, Klinisches Management/ </w:t>
            </w:r>
            <w:proofErr w:type="spellStart"/>
            <w:r>
              <w:t>Verlegemanagement</w:t>
            </w:r>
            <w:proofErr w:type="spellEnd"/>
            <w:r>
              <w:t>/</w:t>
            </w:r>
            <w:proofErr w:type="spellStart"/>
            <w:r>
              <w:t>Entlassmanagement</w:t>
            </w:r>
            <w:proofErr w:type="spellEnd"/>
            <w:r>
              <w:t>, Maßnahmen zum Infektionsschutz, Surveillance, Transport und Grenzübergangsstellen, wichtige Aufgaben und Termine)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Nächste Sitzung: 13.07.2022, 11 Uhr</w:t>
            </w:r>
          </w:p>
        </w:tc>
        <w:tc>
          <w:tcPr>
            <w:tcW w:w="1752" w:type="dxa"/>
          </w:tcPr>
          <w:p>
            <w:r>
              <w:t>Alle</w:t>
            </w:r>
          </w:p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Webex</w:t>
      </w:r>
      <w:proofErr w:type="spellEnd"/>
      <w:proofErr w:type="gram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10.05.2022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727A2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0A12D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ED6E3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803E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EA80E22A"/>
    <w:lvl w:ilvl="0" w:tplc="06B00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9</cp:revision>
  <cp:lastPrinted>2020-03-13T12:00:00Z</cp:lastPrinted>
  <dcterms:created xsi:type="dcterms:W3CDTF">2022-06-29T12:24:00Z</dcterms:created>
  <dcterms:modified xsi:type="dcterms:W3CDTF">2022-07-06T08:53:00Z</dcterms:modified>
</cp:coreProperties>
</file>