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13.07.2022;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65"/>
        <w:gridCol w:w="175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752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(14-tägig)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NCD-Themen in Bezug auf die Pandemie:</w:t>
            </w:r>
          </w:p>
          <w:p>
            <w:pPr>
              <w:pStyle w:val="Listenabsatz"/>
              <w:spacing w:after="200"/>
              <w:ind w:left="1440"/>
            </w:pPr>
            <w:r>
              <w:t>Vorstellung des BMG Projekts „Post-COVID-19“ und andere Long-COVID Initiativen im RKI"</w:t>
            </w:r>
          </w:p>
          <w:p>
            <w:pPr>
              <w:pStyle w:val="Listenabsatz"/>
              <w:spacing w:after="200"/>
              <w:ind w:left="1440"/>
            </w:pPr>
          </w:p>
        </w:tc>
        <w:tc>
          <w:tcPr>
            <w:tcW w:w="1752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  <w:r>
              <w:br/>
              <w:t>FG36, FG17</w:t>
            </w:r>
          </w:p>
          <w:p>
            <w:r>
              <w:t>FG37, AL3</w:t>
            </w:r>
          </w:p>
          <w:p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FG36, F1/MF2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P4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Abt. 2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Christa Scheidt-Nave, Maria Silva de Almeida (FG25)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752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752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Wieler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752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r>
              <w:lastRenderedPageBreak/>
              <w:t>Zwischenbericht</w:t>
            </w:r>
          </w:p>
        </w:tc>
        <w:tc>
          <w:tcPr>
            <w:tcW w:w="1752" w:type="dxa"/>
          </w:tcPr>
          <w:p>
            <w:r>
              <w:lastRenderedPageBreak/>
              <w:t>Alle</w:t>
            </w:r>
          </w:p>
          <w:p>
            <w:r>
              <w:lastRenderedPageBreak/>
              <w:t xml:space="preserve">FG31, Maria </w:t>
            </w:r>
            <w:proofErr w:type="spellStart"/>
            <w:r>
              <w:t>adH</w:t>
            </w:r>
            <w:proofErr w:type="spellEnd"/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Frage aus EpiLag zu Absonderung: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„Gibt es die Absicht die Absonderung nach einem positiven SARS-CoV-2-Nachweis aufzuheben, da im Winter auch andere Atemwegserkrankungen kursieren werden, bei denen es keiner Absonderung bedarf? Gibt es die Absicht, den Umgang mit Kontaktpersonen zu verschärfen?“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Umgang mit „Erlassen“ von Consulting Firmen, hier </w:t>
            </w:r>
            <w:proofErr w:type="spellStart"/>
            <w:r>
              <w:t>Scholz&amp;Friends</w:t>
            </w:r>
            <w:proofErr w:type="spellEnd"/>
          </w:p>
        </w:tc>
        <w:tc>
          <w:tcPr>
            <w:tcW w:w="1752" w:type="dxa"/>
          </w:tcPr>
          <w:p>
            <w:r>
              <w:t>Alle</w:t>
            </w:r>
          </w:p>
          <w:p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br/>
            </w:r>
            <w:r>
              <w:t xml:space="preserve">FG31, Maria </w:t>
            </w:r>
            <w:proofErr w:type="spellStart"/>
            <w:r>
              <w:t>adH</w:t>
            </w:r>
            <w:proofErr w:type="spellEnd"/>
          </w:p>
          <w:p>
            <w:pPr>
              <w:rPr>
                <w:color w:val="76923C" w:themeColor="accent3" w:themeShade="BF"/>
              </w:rPr>
            </w:pPr>
          </w:p>
          <w:p>
            <w:pPr>
              <w:rPr>
                <w:color w:val="76923C" w:themeColor="accent3" w:themeShade="BF"/>
              </w:rPr>
            </w:pPr>
          </w:p>
          <w:p>
            <w:pPr>
              <w:rPr>
                <w:color w:val="76923C" w:themeColor="accent3" w:themeShade="BF"/>
              </w:rPr>
            </w:pPr>
          </w:p>
          <w:p>
            <w:pPr>
              <w:rPr>
                <w:color w:val="76923C" w:themeColor="accent3" w:themeShade="BF"/>
              </w:rPr>
            </w:pPr>
          </w:p>
          <w:p>
            <w:pPr>
              <w:rPr>
                <w:color w:val="76923C" w:themeColor="accent3" w:themeShade="BF"/>
              </w:rPr>
            </w:pPr>
          </w:p>
          <w:p>
            <w:pPr>
              <w:rPr>
                <w:color w:val="76923C" w:themeColor="accent3" w:themeShade="BF"/>
              </w:rPr>
            </w:pPr>
          </w:p>
          <w:p>
            <w:r>
              <w:t>Schaade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Wochenbericht diese Woche</w:t>
            </w:r>
            <w:bookmarkStart w:id="0" w:name="_GoBack"/>
            <w:bookmarkEnd w:id="0"/>
          </w:p>
        </w:tc>
        <w:tc>
          <w:tcPr>
            <w:tcW w:w="1752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Andere Themen anlassbezogen </w:t>
            </w:r>
            <w:r>
              <w:t xml:space="preserve">(z.B. Internationales, Labordiagnostik, Klinisches Management/ </w:t>
            </w:r>
            <w:proofErr w:type="spellStart"/>
            <w:r>
              <w:t>Verlegemanagement</w:t>
            </w:r>
            <w:proofErr w:type="spellEnd"/>
            <w:r>
              <w:t>/</w:t>
            </w:r>
            <w:proofErr w:type="spellStart"/>
            <w:r>
              <w:t>Entlassmanagement</w:t>
            </w:r>
            <w:proofErr w:type="spellEnd"/>
            <w:r>
              <w:t>, Maßnahmen zum Infektionsschutz, Surveillance, Transport und Grenzübergangsstellen, wichtige Aufgaben und Termine)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Nächste Sitzung: 20.07.2022, 11 Uhr</w:t>
            </w:r>
          </w:p>
        </w:tc>
        <w:tc>
          <w:tcPr>
            <w:tcW w:w="1752" w:type="dxa"/>
          </w:tcPr>
          <w:p>
            <w:r>
              <w:t>Alle</w:t>
            </w:r>
          </w:p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0A12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ED6E3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803E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EA80E22A"/>
    <w:lvl w:ilvl="0" w:tplc="06B0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12</cp:revision>
  <cp:lastPrinted>2020-03-13T12:00:00Z</cp:lastPrinted>
  <dcterms:created xsi:type="dcterms:W3CDTF">2022-05-18T11:14:00Z</dcterms:created>
  <dcterms:modified xsi:type="dcterms:W3CDTF">2022-07-13T08:57:00Z</dcterms:modified>
</cp:coreProperties>
</file>