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rText"/>
        <w:rPr>
          <w:b/>
        </w:rPr>
      </w:pPr>
      <w:r>
        <w:rPr>
          <w:b/>
        </w:rPr>
        <w:t>Erlass zu Kindern mit Vor</w:t>
      </w:r>
      <w:bookmarkStart w:id="0" w:name="_GoBack"/>
      <w:bookmarkEnd w:id="0"/>
      <w:r>
        <w:rPr>
          <w:b/>
        </w:rPr>
        <w:t>erkrankungen und erhöhtem Risiko für schweren COVID-Verlauf.</w:t>
      </w:r>
    </w:p>
    <w:p>
      <w:pPr>
        <w:pStyle w:val="NurText"/>
      </w:pPr>
    </w:p>
    <w:p>
      <w:pPr>
        <w:pStyle w:val="NurText"/>
      </w:pPr>
      <w:r>
        <w:t xml:space="preserve"> </w:t>
      </w:r>
    </w:p>
    <w:p>
      <w:pPr>
        <w:pStyle w:val="NurText"/>
      </w:pPr>
    </w:p>
    <w:p>
      <w:pPr>
        <w:pStyle w:val="NurText"/>
        <w:numPr>
          <w:ilvl w:val="0"/>
          <w:numId w:val="1"/>
        </w:numPr>
        <w:rPr>
          <w:b/>
        </w:rPr>
      </w:pPr>
      <w:r>
        <w:rPr>
          <w:b/>
        </w:rPr>
        <w:t>bei welchen Vorerkrankungen und der damit einhergehenden Gefahr eines schwerwiegenden Corona-Verlauf derzeit Kindern und Jugendlichen unter Umständen kein Schulbesuch möglich sein könnte?</w:t>
      </w:r>
    </w:p>
    <w:p>
      <w:pPr>
        <w:pStyle w:val="NurText"/>
        <w:ind w:left="1125"/>
      </w:pPr>
    </w:p>
    <w:p>
      <w:pPr>
        <w:pStyle w:val="NurText"/>
        <w:ind w:left="1125"/>
        <w:rPr>
          <w:i/>
        </w:rPr>
      </w:pPr>
      <w:r>
        <w:rPr>
          <w:i/>
        </w:rPr>
        <w:t>Auch bei Kindern mit aufgrund von Vorerkrankungen individuell erhöhtem Risiko für einen schweren Verlauf ist ein Schulbesuch beim aktuellen Infektionsgeschehen nicht kontraindiziert, da die Impfung einen wirksamen Schutz bietet.</w:t>
      </w:r>
    </w:p>
    <w:p>
      <w:pPr>
        <w:pStyle w:val="NurText"/>
        <w:ind w:left="1125"/>
        <w:rPr>
          <w:i/>
        </w:rPr>
      </w:pPr>
    </w:p>
    <w:p>
      <w:pPr>
        <w:pStyle w:val="NurText"/>
        <w:ind w:left="1125"/>
        <w:rPr>
          <w:i/>
        </w:rPr>
      </w:pPr>
      <w:r>
        <w:rPr>
          <w:i/>
        </w:rPr>
        <w:t>Folgende</w:t>
      </w:r>
      <w:r>
        <w:rPr>
          <w:i/>
        </w:rPr>
        <w:t xml:space="preserve"> Vorerkrankungen bei Kindern und Jugendlichen </w:t>
      </w:r>
      <w:r>
        <w:rPr>
          <w:i/>
        </w:rPr>
        <w:t xml:space="preserve">stellen gemäß wissenschaftlicher Begründung der STIKO Risikofaktoren für einen </w:t>
      </w:r>
      <w:r>
        <w:rPr>
          <w:i/>
        </w:rPr>
        <w:t xml:space="preserve">schwerwiegenden Verlauf einer SARS-CoV-2 Infektion </w:t>
      </w:r>
      <w:r>
        <w:rPr>
          <w:i/>
        </w:rPr>
        <w:t xml:space="preserve">dar: (Tabelle 3 wissenschaftliche Begründung, </w:t>
      </w:r>
      <w:hyperlink r:id="rId7" w:history="1">
        <w:r>
          <w:rPr>
            <w:rStyle w:val="Hyperlink"/>
            <w:i/>
          </w:rPr>
          <w:t>https://www.rki.de/DE/Content/Infekt/EpidBull/Archiv/2022/Ausgaben/21_22.pdf?__blob=publicationFile</w:t>
        </w:r>
      </w:hyperlink>
      <w:r>
        <w:rPr>
          <w:i/>
        </w:rPr>
        <w:t xml:space="preserve">) </w:t>
      </w:r>
    </w:p>
    <w:p>
      <w:pPr>
        <w:pStyle w:val="NurText"/>
        <w:ind w:left="1125"/>
        <w:rPr>
          <w:i/>
        </w:rPr>
      </w:pPr>
    </w:p>
    <w:p>
      <w:pPr>
        <w:pStyle w:val="NurText"/>
        <w:ind w:left="1125"/>
        <w:rPr>
          <w:i/>
        </w:rPr>
      </w:pPr>
      <w:r>
        <w:rPr>
          <w:i/>
        </w:rPr>
        <w:t>D) Kinder und Jugendliche im Alter von 5 – 17 Jahren mit</w:t>
      </w:r>
      <w:r>
        <w:rPr>
          <w:i/>
        </w:rPr>
        <w:t xml:space="preserve"> </w:t>
      </w:r>
      <w:r>
        <w:rPr>
          <w:i/>
        </w:rPr>
        <w:t>Grunderkrankungen, die ein erhöhtes Risiko für schwere</w:t>
      </w:r>
      <w:r>
        <w:rPr>
          <w:i/>
        </w:rPr>
        <w:t xml:space="preserve"> </w:t>
      </w:r>
      <w:r>
        <w:rPr>
          <w:i/>
        </w:rPr>
        <w:t>COVID-19-Verläufe haben</w:t>
      </w:r>
    </w:p>
    <w:p>
      <w:pPr>
        <w:pStyle w:val="NurText"/>
        <w:numPr>
          <w:ilvl w:val="0"/>
          <w:numId w:val="2"/>
        </w:numPr>
        <w:rPr>
          <w:i/>
        </w:rPr>
      </w:pPr>
      <w:r>
        <w:rPr>
          <w:i/>
        </w:rPr>
        <w:t>Adipositas (&gt; 97. Perzentile des BMI)</w:t>
      </w:r>
    </w:p>
    <w:p>
      <w:pPr>
        <w:pStyle w:val="NurText"/>
        <w:numPr>
          <w:ilvl w:val="0"/>
          <w:numId w:val="2"/>
        </w:numPr>
        <w:rPr>
          <w:i/>
        </w:rPr>
      </w:pPr>
      <w:r>
        <w:rPr>
          <w:i/>
        </w:rPr>
        <w:t xml:space="preserve"> Angeborene oder erworbene Immundefizienz oder relevante</w:t>
      </w:r>
      <w:r>
        <w:rPr>
          <w:i/>
        </w:rPr>
        <w:t xml:space="preserve"> </w:t>
      </w:r>
      <w:r>
        <w:rPr>
          <w:i/>
        </w:rPr>
        <w:t>Immunsuppression</w:t>
      </w:r>
    </w:p>
    <w:p>
      <w:pPr>
        <w:pStyle w:val="NurText"/>
        <w:numPr>
          <w:ilvl w:val="0"/>
          <w:numId w:val="2"/>
        </w:numPr>
        <w:rPr>
          <w:i/>
        </w:rPr>
      </w:pPr>
      <w:r>
        <w:rPr>
          <w:i/>
        </w:rPr>
        <w:t xml:space="preserve"> Angeborene zyanotische Herzfehler (O2-Ruhes</w:t>
      </w:r>
      <w:r>
        <w:rPr>
          <w:rFonts w:cs="Calibri"/>
          <w:i/>
        </w:rPr>
        <w:t>ä</w:t>
      </w:r>
      <w:r>
        <w:rPr>
          <w:i/>
        </w:rPr>
        <w:t>ttigung &lt; 80 %)</w:t>
      </w:r>
      <w:r>
        <w:rPr>
          <w:i/>
        </w:rPr>
        <w:t xml:space="preserve"> </w:t>
      </w:r>
      <w:r>
        <w:rPr>
          <w:i/>
        </w:rPr>
        <w:t xml:space="preserve">und </w:t>
      </w:r>
      <w:proofErr w:type="spellStart"/>
      <w:r>
        <w:rPr>
          <w:i/>
        </w:rPr>
        <w:t>Einkammerherzen</w:t>
      </w:r>
      <w:proofErr w:type="spellEnd"/>
      <w:r>
        <w:rPr>
          <w:i/>
        </w:rPr>
        <w:t xml:space="preserve"> nach </w:t>
      </w:r>
      <w:proofErr w:type="spellStart"/>
      <w:r>
        <w:rPr>
          <w:i/>
        </w:rPr>
        <w:t>Fontan</w:t>
      </w:r>
      <w:proofErr w:type="spellEnd"/>
      <w:r>
        <w:rPr>
          <w:i/>
        </w:rPr>
        <w:t>-Operation</w:t>
      </w:r>
    </w:p>
    <w:p>
      <w:pPr>
        <w:pStyle w:val="NurText"/>
        <w:numPr>
          <w:ilvl w:val="0"/>
          <w:numId w:val="2"/>
        </w:numPr>
        <w:rPr>
          <w:i/>
        </w:rPr>
      </w:pPr>
      <w:r>
        <w:rPr>
          <w:i/>
        </w:rPr>
        <w:t>Chronische Lungenerkrankungen mit einer anhaltenden</w:t>
      </w:r>
      <w:r>
        <w:rPr>
          <w:i/>
        </w:rPr>
        <w:t xml:space="preserve"> </w:t>
      </w:r>
      <w:r>
        <w:rPr>
          <w:i/>
        </w:rPr>
        <w:t>Einschränkung der Lungenfunktion unterhalb der 5. Perzentile,</w:t>
      </w:r>
      <w:r>
        <w:rPr>
          <w:i/>
        </w:rPr>
        <w:t xml:space="preserve"> </w:t>
      </w:r>
      <w:r>
        <w:rPr>
          <w:i/>
        </w:rPr>
        <w:t xml:space="preserve">definiert als z-Score-Wert &lt; –1,64 für die forcierte </w:t>
      </w:r>
      <w:proofErr w:type="spellStart"/>
      <w:r>
        <w:rPr>
          <w:i/>
        </w:rPr>
        <w:t>Einsekundenkapazität</w:t>
      </w:r>
      <w:proofErr w:type="spellEnd"/>
      <w:r>
        <w:rPr>
          <w:i/>
        </w:rPr>
        <w:t xml:space="preserve"> (FEV1) oder Vitalkapazität (FVC).</w:t>
      </w:r>
    </w:p>
    <w:p>
      <w:pPr>
        <w:pStyle w:val="NurText"/>
        <w:numPr>
          <w:ilvl w:val="0"/>
          <w:numId w:val="2"/>
        </w:numPr>
        <w:rPr>
          <w:i/>
        </w:rPr>
      </w:pPr>
      <w:r>
        <w:rPr>
          <w:i/>
        </w:rPr>
        <w:t>Schweres oder unkontrolliertes Asthma bronchiale</w:t>
      </w:r>
    </w:p>
    <w:p>
      <w:pPr>
        <w:pStyle w:val="NurText"/>
        <w:numPr>
          <w:ilvl w:val="0"/>
          <w:numId w:val="2"/>
        </w:numPr>
        <w:rPr>
          <w:i/>
        </w:rPr>
      </w:pPr>
      <w:r>
        <w:rPr>
          <w:i/>
        </w:rPr>
        <w:t>Chronische Nierenerkrankungen</w:t>
      </w:r>
    </w:p>
    <w:p>
      <w:pPr>
        <w:pStyle w:val="NurText"/>
        <w:numPr>
          <w:ilvl w:val="0"/>
          <w:numId w:val="2"/>
        </w:numPr>
        <w:rPr>
          <w:i/>
        </w:rPr>
      </w:pPr>
      <w:r>
        <w:rPr>
          <w:i/>
        </w:rPr>
        <w:t>Chronische neurologische oder neuromuskul</w:t>
      </w:r>
      <w:r>
        <w:rPr>
          <w:rFonts w:cs="Calibri"/>
          <w:i/>
        </w:rPr>
        <w:t>ä</w:t>
      </w:r>
      <w:r>
        <w:rPr>
          <w:i/>
        </w:rPr>
        <w:t>re Erkrankungen</w:t>
      </w:r>
    </w:p>
    <w:p>
      <w:pPr>
        <w:pStyle w:val="NurText"/>
        <w:numPr>
          <w:ilvl w:val="0"/>
          <w:numId w:val="2"/>
        </w:numPr>
        <w:rPr>
          <w:i/>
        </w:rPr>
      </w:pPr>
      <w:r>
        <w:rPr>
          <w:i/>
        </w:rPr>
        <w:t>Diabetes mellitus, wenn nicht gut eingestellt bzw. mit HbA1c-Wert &gt; 9,0 %</w:t>
      </w:r>
    </w:p>
    <w:p>
      <w:pPr>
        <w:pStyle w:val="NurText"/>
        <w:numPr>
          <w:ilvl w:val="0"/>
          <w:numId w:val="2"/>
        </w:numPr>
        <w:rPr>
          <w:i/>
        </w:rPr>
      </w:pPr>
      <w:r>
        <w:rPr>
          <w:i/>
        </w:rPr>
        <w:t>Schwere Herzinsuffizienz</w:t>
      </w:r>
    </w:p>
    <w:p>
      <w:pPr>
        <w:pStyle w:val="NurText"/>
        <w:numPr>
          <w:ilvl w:val="0"/>
          <w:numId w:val="2"/>
        </w:numPr>
        <w:rPr>
          <w:i/>
        </w:rPr>
      </w:pPr>
      <w:r>
        <w:rPr>
          <w:i/>
        </w:rPr>
        <w:t>Schwere pulmonale Hypertonie</w:t>
      </w:r>
    </w:p>
    <w:p>
      <w:pPr>
        <w:pStyle w:val="NurText"/>
        <w:numPr>
          <w:ilvl w:val="0"/>
          <w:numId w:val="2"/>
        </w:numPr>
        <w:rPr>
          <w:i/>
        </w:rPr>
      </w:pPr>
      <w:proofErr w:type="spellStart"/>
      <w:r>
        <w:rPr>
          <w:i/>
        </w:rPr>
        <w:t>Syndromale</w:t>
      </w:r>
      <w:proofErr w:type="spellEnd"/>
      <w:r>
        <w:rPr>
          <w:i/>
        </w:rPr>
        <w:t xml:space="preserve"> Erkrankungen mit schwerer Beeintr</w:t>
      </w:r>
      <w:r>
        <w:rPr>
          <w:rFonts w:cs="Calibri"/>
          <w:i/>
        </w:rPr>
        <w:t>ä</w:t>
      </w:r>
      <w:r>
        <w:rPr>
          <w:i/>
        </w:rPr>
        <w:t>chtigung</w:t>
      </w:r>
    </w:p>
    <w:p>
      <w:pPr>
        <w:pStyle w:val="NurText"/>
        <w:numPr>
          <w:ilvl w:val="0"/>
          <w:numId w:val="2"/>
        </w:numPr>
        <w:rPr>
          <w:i/>
        </w:rPr>
      </w:pPr>
      <w:r>
        <w:rPr>
          <w:i/>
        </w:rPr>
        <w:t>Trisomie 21</w:t>
      </w:r>
    </w:p>
    <w:p>
      <w:pPr>
        <w:pStyle w:val="NurText"/>
        <w:numPr>
          <w:ilvl w:val="0"/>
          <w:numId w:val="2"/>
        </w:numPr>
        <w:rPr>
          <w:i/>
        </w:rPr>
      </w:pPr>
      <w:r>
        <w:rPr>
          <w:i/>
        </w:rPr>
        <w:t>Tumorerkrankungen und maligne h</w:t>
      </w:r>
      <w:r>
        <w:rPr>
          <w:rFonts w:cs="Calibri"/>
          <w:i/>
        </w:rPr>
        <w:t>ä</w:t>
      </w:r>
      <w:r>
        <w:rPr>
          <w:i/>
        </w:rPr>
        <w:t>matologische Erkrankungen</w:t>
      </w:r>
    </w:p>
    <w:p>
      <w:pPr>
        <w:pStyle w:val="NurText"/>
        <w:ind w:left="1125"/>
        <w:rPr>
          <w:i/>
        </w:rPr>
      </w:pPr>
    </w:p>
    <w:p>
      <w:pPr>
        <w:pStyle w:val="NurText"/>
        <w:ind w:left="1125"/>
        <w:rPr>
          <w:i/>
        </w:rPr>
      </w:pPr>
      <w:r>
        <w:rPr>
          <w:i/>
        </w:rPr>
        <w:t>Bereits Mitte Dezember 2021 hat die Ständige Impfkommission (STIKO) in ihrer 15. Aktualisierung der COVID-19-Impfempfehlung die COVID-19-Impfung nur für Kinder (5-11 Jahre) empfohlen, die aufgrund von Vorerkrankungen ein erhöhtes Risiko für einen schweren COVID-19-Verlauf haben, sowie für Kinder, in deren Umfeld sich Angehörige oder andere Kontaktpersonen mit hohem Risiko für einen schweren COVID-19-Verlauf befinden, die entweder selbst nicht geimpft werden können oder bei denen der begründete Verdacht besteht, dass die Impfung nicht zu einem ausreichenden Schutz führt (z. B. Menschen unter immunsuppressiver Therapie). Die STIKO empfiehlt inzwischen Kindern mit Vorerkrankungen weiterhin eine Grundimmunisierung mit 2 Impfstoffdosen sowie eine Auffrischimpfung.</w:t>
      </w:r>
    </w:p>
    <w:p>
      <w:pPr>
        <w:pStyle w:val="NurText"/>
      </w:pPr>
    </w:p>
    <w:p>
      <w:pPr>
        <w:pStyle w:val="NurText"/>
        <w:numPr>
          <w:ilvl w:val="0"/>
          <w:numId w:val="1"/>
        </w:numPr>
        <w:rPr>
          <w:b/>
        </w:rPr>
      </w:pPr>
      <w:r>
        <w:rPr>
          <w:b/>
        </w:rPr>
        <w:t xml:space="preserve">Wie viele Kinder und Jugendliche wären davon deutschlandweit betroffen?   </w:t>
      </w:r>
    </w:p>
    <w:p>
      <w:pPr>
        <w:pStyle w:val="NurText"/>
        <w:ind w:left="1125"/>
        <w:rPr>
          <w:i/>
        </w:rPr>
      </w:pPr>
      <w:r>
        <w:rPr>
          <w:i/>
        </w:rPr>
        <w:t xml:space="preserve">Dem RKI liegen keine genauen Zahlen zur Prävalenz o.g. Erkrankungen bei Kindern im schulpflichtigen Alter in Deutschland vor. Allerdings ist dies auch nicht ausschlaggebend, </w:t>
      </w:r>
      <w:r>
        <w:rPr>
          <w:i/>
        </w:rPr>
        <w:lastRenderedPageBreak/>
        <w:t>da das Vorliegen dieser Vorerkrankungen keine Kontraindikation für einen Schulbesuch darstellt.</w:t>
      </w:r>
    </w:p>
    <w:p>
      <w:pPr>
        <w:pStyle w:val="NurText"/>
      </w:pPr>
    </w:p>
    <w:p>
      <w:pPr>
        <w:pStyle w:val="NurText"/>
      </w:pPr>
    </w:p>
    <w:p>
      <w:pPr>
        <w:pStyle w:val="NurText"/>
      </w:pPr>
      <w:r>
        <w:t xml:space="preserve"> </w:t>
      </w:r>
    </w:p>
    <w:p>
      <w:pPr>
        <w:pStyle w:val="NurText"/>
      </w:pPr>
      <w:r>
        <w:t>Baustein Abt. 2 zu Long COVID</w:t>
      </w:r>
    </w:p>
    <w:p>
      <w:pPr>
        <w:pStyle w:val="NurText"/>
      </w:pPr>
    </w:p>
    <w:p>
      <w:pPr>
        <w:pStyle w:val="NurText"/>
        <w:rPr>
          <w:i/>
        </w:rPr>
      </w:pPr>
      <w:r>
        <w:rPr>
          <w:i/>
        </w:rPr>
        <w:t xml:space="preserve">Die Datenlage zu Long COVID ist für Kinder und Jugendliche insgesamt noch sehr eingeschränkt. Die Erkenntnisse zu dieser speziellen Frage beschränken sich aktuell im Wesentlichen auf Bestandsaufnahmen bisheriger Studien, die zeigen, dass Kinder mit Vorerkrankungen häufiger von gesundheitlichen Langzeitfolgen einer SARS-CoV-2-Infektion oder COVID-19-Erkrankung betroffen sind. Es ist jedoch nicht hinreichend geklärt, für welche Vorerkrankungen dieser Zusammenhang angenommen werden muss und wie groß der Anteil der Kinder und Jugendlichen mit Vorerkrankungen ist, der wegen dieser gesundheitlichen Langzeitfolgen nicht in der Lage ist, die Schule zu besuchen. </w:t>
      </w:r>
    </w:p>
    <w:p>
      <w:pPr>
        <w:pStyle w:val="NurText"/>
        <w:rPr>
          <w:i/>
        </w:rPr>
      </w:pPr>
    </w:p>
    <w:p>
      <w:pPr>
        <w:pStyle w:val="NurText"/>
        <w:rPr>
          <w:i/>
        </w:rPr>
      </w:pPr>
      <w:r>
        <w:rPr>
          <w:i/>
        </w:rPr>
        <w:t xml:space="preserve"> </w:t>
      </w:r>
    </w:p>
    <w:p>
      <w:pPr>
        <w:pStyle w:val="NurText"/>
        <w:rPr>
          <w:i/>
        </w:rPr>
      </w:pPr>
    </w:p>
    <w:p>
      <w:pPr>
        <w:pStyle w:val="NurText"/>
        <w:rPr>
          <w:i/>
          <w:lang w:val="en-GB"/>
        </w:rPr>
      </w:pPr>
      <w:proofErr w:type="spellStart"/>
      <w:r>
        <w:rPr>
          <w:i/>
          <w:lang w:val="en-GB"/>
        </w:rPr>
        <w:t>Behnood</w:t>
      </w:r>
      <w:proofErr w:type="spellEnd"/>
      <w:r>
        <w:rPr>
          <w:i/>
          <w:lang w:val="en-GB"/>
        </w:rPr>
        <w:t xml:space="preserve"> SA et al. Persistent symptoms following SARS-CoV-2 infection amongst children and young people: A meta-analysis of controlled and uncontrolled studies. Journal of Infection 2022, Volume 84, Issue 2, Pages 158-</w:t>
      </w:r>
      <w:proofErr w:type="gramStart"/>
      <w:r>
        <w:rPr>
          <w:i/>
          <w:lang w:val="en-GB"/>
        </w:rPr>
        <w:t>170,ISSN</w:t>
      </w:r>
      <w:proofErr w:type="gramEnd"/>
      <w:r>
        <w:rPr>
          <w:i/>
          <w:lang w:val="en-GB"/>
        </w:rPr>
        <w:t xml:space="preserve"> 0163-4453, https://doi.org/10.1016/j.jinf.2021.11.011.  </w:t>
      </w:r>
    </w:p>
    <w:p>
      <w:pPr>
        <w:pStyle w:val="NurText"/>
        <w:rPr>
          <w:i/>
          <w:lang w:val="en-GB"/>
        </w:rPr>
      </w:pPr>
    </w:p>
    <w:p>
      <w:pPr>
        <w:rPr>
          <w:i/>
          <w:lang w:val="en-GB"/>
        </w:rPr>
      </w:pPr>
      <w:r>
        <w:rPr>
          <w:i/>
          <w:lang w:val="en-GB"/>
        </w:rPr>
        <w:t xml:space="preserve">Zimmermann, P et al. How Common is Long COVID in Children and Adolescents? The </w:t>
      </w:r>
      <w:proofErr w:type="spellStart"/>
      <w:r>
        <w:rPr>
          <w:i/>
          <w:lang w:val="en-GB"/>
        </w:rPr>
        <w:t>Pediatric</w:t>
      </w:r>
      <w:proofErr w:type="spellEnd"/>
      <w:r>
        <w:rPr>
          <w:i/>
          <w:lang w:val="en-GB"/>
        </w:rPr>
        <w:t xml:space="preserve"> Infectious Disease Journal: December 2021 - Volume 40 - Issue 12 - p e482-e487 </w:t>
      </w:r>
      <w:proofErr w:type="spellStart"/>
      <w:r>
        <w:rPr>
          <w:i/>
          <w:lang w:val="en-GB"/>
        </w:rPr>
        <w:t>doi</w:t>
      </w:r>
      <w:proofErr w:type="spellEnd"/>
      <w:r>
        <w:rPr>
          <w:i/>
          <w:lang w:val="en-GB"/>
        </w:rPr>
        <w:t>: 10.1097/INF.0000000000003328</w:t>
      </w:r>
    </w:p>
    <w:sectPr>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t xml:space="preserve">Antwortentwurf RKI Erlass </w:t>
    </w:r>
    <w:r>
      <w:t>ID5516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F648E"/>
    <w:multiLevelType w:val="hybridMultilevel"/>
    <w:tmpl w:val="DA7C4C50"/>
    <w:lvl w:ilvl="0" w:tplc="04070001">
      <w:start w:val="1"/>
      <w:numFmt w:val="bullet"/>
      <w:lvlText w:val=""/>
      <w:lvlJc w:val="left"/>
      <w:pPr>
        <w:ind w:left="1845" w:hanging="360"/>
      </w:pPr>
      <w:rPr>
        <w:rFonts w:ascii="Symbol" w:hAnsi="Symbol" w:hint="default"/>
      </w:rPr>
    </w:lvl>
    <w:lvl w:ilvl="1" w:tplc="04070003" w:tentative="1">
      <w:start w:val="1"/>
      <w:numFmt w:val="bullet"/>
      <w:lvlText w:val="o"/>
      <w:lvlJc w:val="left"/>
      <w:pPr>
        <w:ind w:left="2565" w:hanging="360"/>
      </w:pPr>
      <w:rPr>
        <w:rFonts w:ascii="Courier New" w:hAnsi="Courier New" w:cs="Courier New" w:hint="default"/>
      </w:rPr>
    </w:lvl>
    <w:lvl w:ilvl="2" w:tplc="04070005" w:tentative="1">
      <w:start w:val="1"/>
      <w:numFmt w:val="bullet"/>
      <w:lvlText w:val=""/>
      <w:lvlJc w:val="left"/>
      <w:pPr>
        <w:ind w:left="3285" w:hanging="360"/>
      </w:pPr>
      <w:rPr>
        <w:rFonts w:ascii="Wingdings" w:hAnsi="Wingdings" w:hint="default"/>
      </w:rPr>
    </w:lvl>
    <w:lvl w:ilvl="3" w:tplc="04070001" w:tentative="1">
      <w:start w:val="1"/>
      <w:numFmt w:val="bullet"/>
      <w:lvlText w:val=""/>
      <w:lvlJc w:val="left"/>
      <w:pPr>
        <w:ind w:left="4005" w:hanging="360"/>
      </w:pPr>
      <w:rPr>
        <w:rFonts w:ascii="Symbol" w:hAnsi="Symbol" w:hint="default"/>
      </w:rPr>
    </w:lvl>
    <w:lvl w:ilvl="4" w:tplc="04070003" w:tentative="1">
      <w:start w:val="1"/>
      <w:numFmt w:val="bullet"/>
      <w:lvlText w:val="o"/>
      <w:lvlJc w:val="left"/>
      <w:pPr>
        <w:ind w:left="4725" w:hanging="360"/>
      </w:pPr>
      <w:rPr>
        <w:rFonts w:ascii="Courier New" w:hAnsi="Courier New" w:cs="Courier New" w:hint="default"/>
      </w:rPr>
    </w:lvl>
    <w:lvl w:ilvl="5" w:tplc="04070005" w:tentative="1">
      <w:start w:val="1"/>
      <w:numFmt w:val="bullet"/>
      <w:lvlText w:val=""/>
      <w:lvlJc w:val="left"/>
      <w:pPr>
        <w:ind w:left="5445" w:hanging="360"/>
      </w:pPr>
      <w:rPr>
        <w:rFonts w:ascii="Wingdings" w:hAnsi="Wingdings" w:hint="default"/>
      </w:rPr>
    </w:lvl>
    <w:lvl w:ilvl="6" w:tplc="04070001" w:tentative="1">
      <w:start w:val="1"/>
      <w:numFmt w:val="bullet"/>
      <w:lvlText w:val=""/>
      <w:lvlJc w:val="left"/>
      <w:pPr>
        <w:ind w:left="6165" w:hanging="360"/>
      </w:pPr>
      <w:rPr>
        <w:rFonts w:ascii="Symbol" w:hAnsi="Symbol" w:hint="default"/>
      </w:rPr>
    </w:lvl>
    <w:lvl w:ilvl="7" w:tplc="04070003" w:tentative="1">
      <w:start w:val="1"/>
      <w:numFmt w:val="bullet"/>
      <w:lvlText w:val="o"/>
      <w:lvlJc w:val="left"/>
      <w:pPr>
        <w:ind w:left="6885" w:hanging="360"/>
      </w:pPr>
      <w:rPr>
        <w:rFonts w:ascii="Courier New" w:hAnsi="Courier New" w:cs="Courier New" w:hint="default"/>
      </w:rPr>
    </w:lvl>
    <w:lvl w:ilvl="8" w:tplc="04070005" w:tentative="1">
      <w:start w:val="1"/>
      <w:numFmt w:val="bullet"/>
      <w:lvlText w:val=""/>
      <w:lvlJc w:val="left"/>
      <w:pPr>
        <w:ind w:left="7605" w:hanging="360"/>
      </w:pPr>
      <w:rPr>
        <w:rFonts w:ascii="Wingdings" w:hAnsi="Wingdings" w:hint="default"/>
      </w:rPr>
    </w:lvl>
  </w:abstractNum>
  <w:abstractNum w:abstractNumId="1" w15:restartNumberingAfterBreak="0">
    <w:nsid w:val="0D38614E"/>
    <w:multiLevelType w:val="hybridMultilevel"/>
    <w:tmpl w:val="4C9200CA"/>
    <w:lvl w:ilvl="0" w:tplc="DFA0A778">
      <w:start w:val="1"/>
      <w:numFmt w:val="decimal"/>
      <w:lvlText w:val="%1."/>
      <w:lvlJc w:val="left"/>
      <w:pPr>
        <w:ind w:left="1125" w:hanging="76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0197E-18BD-4BE8-8896-E90F5B721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Pr>
      <w:rFonts w:ascii="Calibri" w:hAnsi="Calibri"/>
      <w:szCs w:val="21"/>
    </w:rPr>
  </w:style>
  <w:style w:type="character" w:customStyle="1" w:styleId="NurTextZchn">
    <w:name w:val="Nur Text Zchn"/>
    <w:basedOn w:val="Absatz-Standardschriftart"/>
    <w:link w:val="NurText"/>
    <w:uiPriority w:val="99"/>
    <w:rPr>
      <w:rFonts w:ascii="Calibri" w:hAnsi="Calibri"/>
      <w:szCs w:val="21"/>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47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ki.de/DE/Content/Infekt/EpidBull/Archiv/2022/Ausgaben/21_22.pdf?__blob=publicationFi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3647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3</cp:revision>
  <dcterms:created xsi:type="dcterms:W3CDTF">2022-08-02T15:57:00Z</dcterms:created>
  <dcterms:modified xsi:type="dcterms:W3CDTF">2022-08-02T16:56:00Z</dcterms:modified>
</cp:coreProperties>
</file>