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Lage-AG-Sitzung zu COVID-19</w:t>
      </w:r>
    </w:p>
    <w:p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>Ergebnisprotokoll</w:t>
      </w:r>
    </w:p>
    <w:p>
      <w:pPr>
        <w:rPr>
          <w:i/>
        </w:rPr>
      </w:pPr>
      <w:r>
        <w:rPr>
          <w:i/>
        </w:rPr>
        <w:t>Aktenzeichen: 4.06.02/0024#0014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COVID-19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Donnerstag, 01.09.20222, 09:00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r>
            <w:rPr>
              <w:sz w:val="22"/>
            </w:rPr>
            <w:t>Webex-Konferenz</w:t>
          </w:r>
        </w:sdtContent>
      </w:sdt>
    </w:p>
    <w:p>
      <w:pPr>
        <w:rPr>
          <w:b/>
          <w:sz w:val="22"/>
        </w:rPr>
      </w:pPr>
      <w:r>
        <w:rPr>
          <w:b/>
          <w:sz w:val="22"/>
        </w:rPr>
        <w:t xml:space="preserve">Moderation: Lars Schaade </w:t>
      </w:r>
    </w:p>
    <w:p>
      <w:pPr>
        <w:spacing w:after="0"/>
        <w:rPr>
          <w:b/>
          <w:sz w:val="22"/>
        </w:rPr>
        <w:sectPr>
          <w:headerReference w:type="default" r:id="rId8"/>
          <w:footerReference w:type="even" r:id="rId9"/>
          <w:footerReference w:type="default" r:id="rId10"/>
          <w:pgSz w:w="11900" w:h="16840"/>
          <w:pgMar w:top="1440" w:right="1800" w:bottom="1440" w:left="1800" w:header="708" w:footer="708" w:gutter="0"/>
          <w:cols w:space="708"/>
        </w:sectPr>
      </w:pPr>
    </w:p>
    <w:p>
      <w:pPr>
        <w:spacing w:after="0"/>
        <w:rPr>
          <w:b/>
          <w:sz w:val="22"/>
        </w:rPr>
      </w:pPr>
      <w:bookmarkStart w:id="0" w:name="_Hlk82005470"/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Lars Schaade</w:t>
      </w:r>
    </w:p>
    <w:p>
      <w:pPr>
        <w:pStyle w:val="Listenabsatz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Esther-Maria </w:t>
      </w:r>
      <w:proofErr w:type="spellStart"/>
      <w:r>
        <w:rPr>
          <w:sz w:val="22"/>
          <w:szCs w:val="22"/>
        </w:rPr>
        <w:t>Antão</w:t>
      </w:r>
      <w:proofErr w:type="spellEnd"/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Abt. 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Martin Mielke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3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Osamah Hamouda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Tanja Jung-Sendzik</w:t>
      </w:r>
    </w:p>
    <w:p>
      <w:pPr>
        <w:pStyle w:val="Listenabsatz"/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Melanie Brunke</w:t>
      </w:r>
    </w:p>
    <w:p>
      <w:pPr>
        <w:spacing w:after="0"/>
        <w:ind w:left="1080"/>
        <w:rPr>
          <w:sz w:val="22"/>
          <w:szCs w:val="22"/>
        </w:rPr>
      </w:pP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Barbara Biere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Ute Rexroth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Ulrike Grote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Janina Stauke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Christian Wittke (Protokoll)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Michaela Diercke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Matthias </w:t>
      </w:r>
      <w:proofErr w:type="gramStart"/>
      <w:r>
        <w:rPr>
          <w:sz w:val="22"/>
        </w:rPr>
        <w:t>an der Heiden</w:t>
      </w:r>
      <w:proofErr w:type="gramEnd"/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Udo Buchholz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Stefan Kröger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Kristin Tolksdorf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Tim Eckmanns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ZBS7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Agata Mikolajewska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MF4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Martina Fischer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P1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Ines Lein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Presse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Susanne Glasmacher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Marieke Degen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ZIG1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>Romy Kerber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BZgA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</w:rPr>
        <w:t>Mirco Steffens</w:t>
      </w:r>
    </w:p>
    <w:p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bookmarkEnd w:id="0"/>
    <w:p>
      <w:pPr>
        <w:spacing w:after="0"/>
        <w:rPr>
          <w:sz w:val="22"/>
        </w:rPr>
        <w:sectPr>
          <w:type w:val="continuous"/>
          <w:pgSz w:w="11900" w:h="16840"/>
          <w:pgMar w:top="1440" w:right="1800" w:bottom="1440" w:left="1800" w:header="708" w:footer="708" w:gutter="0"/>
          <w:cols w:num="2" w:space="560"/>
        </w:sectPr>
      </w:pPr>
    </w:p>
    <w:p>
      <w:pPr>
        <w:pStyle w:val="Liste2"/>
        <w:numPr>
          <w:ilvl w:val="0"/>
          <w:numId w:val="0"/>
        </w:num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824"/>
        <w:gridCol w:w="1463"/>
      </w:tblGrid>
      <w:tr>
        <w:tc>
          <w:tcPr>
            <w:tcW w:w="68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  <w:t>TOP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Beitrag/ Thema</w:t>
            </w:r>
          </w:p>
        </w:tc>
        <w:tc>
          <w:tcPr>
            <w:tcW w:w="1463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 xml:space="preserve">Aktuelle Lage </w:t>
            </w:r>
          </w:p>
          <w:p>
            <w:pPr>
              <w:spacing w:line="276" w:lineRule="auto"/>
              <w:rPr>
                <w:b/>
                <w:bCs/>
                <w:i/>
                <w:color w:val="D99594" w:themeColor="accent2" w:themeTint="99"/>
              </w:rPr>
            </w:pPr>
            <w:r>
              <w:rPr>
                <w:rStyle w:val="2Zchn"/>
                <w:sz w:val="22"/>
                <w:szCs w:val="22"/>
              </w:rPr>
              <w:t>International</w:t>
            </w:r>
            <w:r>
              <w:rPr>
                <w:rStyle w:val="TagMiZchn"/>
                <w:bCs/>
              </w:rPr>
              <w:t xml:space="preserve"> </w:t>
            </w:r>
          </w:p>
          <w:p>
            <w:pPr>
              <w:pStyle w:val="Liste2"/>
            </w:pPr>
            <w:proofErr w:type="spellStart"/>
            <w:r>
              <w:t>Folien</w:t>
            </w:r>
            <w:proofErr w:type="spellEnd"/>
            <w:r>
              <w:t xml:space="preserve"> </w:t>
            </w:r>
            <w:hyperlink r:id="rId11" w:history="1">
              <w:proofErr w:type="spellStart"/>
              <w:r>
                <w:rPr>
                  <w:rStyle w:val="Hyperlink"/>
                </w:rPr>
                <w:t>hier</w:t>
              </w:r>
              <w:proofErr w:type="spellEnd"/>
            </w:hyperlink>
          </w:p>
          <w:p>
            <w:pPr>
              <w:pStyle w:val="Liste2"/>
            </w:pPr>
            <w:proofErr w:type="spellStart"/>
            <w:r>
              <w:t>Weltweit</w:t>
            </w:r>
            <w:proofErr w:type="spellEnd"/>
            <w:r>
              <w:t xml:space="preserve">: </w:t>
            </w:r>
            <w:proofErr w:type="spellStart"/>
            <w:r>
              <w:t>Fälle</w:t>
            </w:r>
            <w:proofErr w:type="spellEnd"/>
            <w:r>
              <w:t xml:space="preserve">, </w:t>
            </w:r>
            <w:proofErr w:type="spellStart"/>
            <w:r>
              <w:t>Todesfälle</w:t>
            </w:r>
            <w:proofErr w:type="spellEnd"/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Anzahl Fälle pro KW und WHO Region, 30.12.2019-31.08.2022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 xml:space="preserve">Europe: 246.426.020 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proofErr w:type="spellStart"/>
            <w:r>
              <w:rPr>
                <w:lang w:val="de-DE"/>
              </w:rPr>
              <w:t>America</w:t>
            </w:r>
            <w:proofErr w:type="spellEnd"/>
            <w:r>
              <w:rPr>
                <w:lang w:val="de-DE"/>
              </w:rPr>
              <w:t xml:space="preserve">: 174.492.276 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 xml:space="preserve">Western Pacific: 81.367.219 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South-East Asia: 59.877.206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 xml:space="preserve">Eastern </w:t>
            </w:r>
            <w:proofErr w:type="spellStart"/>
            <w:r>
              <w:rPr>
                <w:lang w:val="de-DE"/>
              </w:rPr>
              <w:t>Mediterranean</w:t>
            </w:r>
            <w:proofErr w:type="spellEnd"/>
            <w:r>
              <w:rPr>
                <w:lang w:val="de-DE"/>
              </w:rPr>
              <w:t>: 22.934.311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proofErr w:type="spellStart"/>
            <w:r>
              <w:rPr>
                <w:lang w:val="de-DE"/>
              </w:rPr>
              <w:t>Africa</w:t>
            </w:r>
            <w:proofErr w:type="spellEnd"/>
            <w:r>
              <w:rPr>
                <w:lang w:val="de-DE"/>
              </w:rPr>
              <w:t>: 9.269.451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Insgesamt global abnehmendes Infektionsgeschehen über alle Kontinente hinweg. Leicht steigende Trends lediglich auf kleinen Inselstaaten oder Überseegebieten. BA.5 </w:t>
            </w:r>
            <w:proofErr w:type="spellStart"/>
            <w:r>
              <w:rPr>
                <w:lang w:val="de-DE"/>
              </w:rPr>
              <w:t>Sublinie</w:t>
            </w:r>
            <w:proofErr w:type="spellEnd"/>
            <w:r>
              <w:rPr>
                <w:lang w:val="de-DE"/>
              </w:rPr>
              <w:t xml:space="preserve"> mit Prävalenz von 87% weiterhin global dominant.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Asien: Sinkende Fallzahlen mit – 18% bei stabilen Todesfallzahlen. Steigende Fallzahlen in den palästinensischen Gebieten. Hohe Inzidenzen &gt; 1.000/ 100.000 EW in Korea und Japan bei sinkendem Trend.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Europa: Sinkende Fall- und Todesfallzahlen (-15% und -33%)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Ozeanien: Sinkende Fall- und Todesfallzahlen (-26,3% und -19,9%). Australien und Neuseeland mit Inzidenz über 300 bei sinkendem Trend.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Afrika: Sinkende Fall- und Todesfallzahlen (-27,9 % und -63,9%)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Amerika: Sinkende Fall- und Todesfallzahlen (-17,5% und -13,5%)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Globale Fallveränderung 7-Tage</w:t>
            </w:r>
          </w:p>
          <w:p>
            <w:pPr>
              <w:pStyle w:val="Liste3"/>
            </w:pPr>
            <w:r>
              <w:t>-17,5%</w:t>
            </w:r>
          </w:p>
          <w:p>
            <w:pPr>
              <w:pStyle w:val="Liste2"/>
            </w:pPr>
            <w:proofErr w:type="spellStart"/>
            <w:r>
              <w:t>Todesfallzahlen</w:t>
            </w:r>
            <w:proofErr w:type="spellEnd"/>
            <w:r>
              <w:t xml:space="preserve"> 7-Tage</w:t>
            </w:r>
          </w:p>
          <w:p>
            <w:pPr>
              <w:pStyle w:val="Liste3"/>
            </w:pPr>
            <w:r>
              <w:t>-15,7%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7-Tage-Inzidenz pro 100.000 Einwohner in Europa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Weiterhin Auffälligkeiten in den Meldungen aus Griechenland und Schweiz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Daten aus Belarus und Ukraine mit Verzögerungen/Unregelmäßigkeiten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Seit KW33 abnehmender Trend nun auch bei Bevölkerung mit 65+ Jahren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 xml:space="preserve">Abnehmender Trend in allen Ländern mit Ausnahme von  </w:t>
            </w:r>
          </w:p>
          <w:p>
            <w:pPr>
              <w:pStyle w:val="Liste2"/>
              <w:numPr>
                <w:ilvl w:val="2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Russland (+20,4%, steigende Todeszahlen, BA.5 seit Ende Juni dominant)</w:t>
            </w:r>
          </w:p>
          <w:p>
            <w:pPr>
              <w:pStyle w:val="Liste2"/>
              <w:numPr>
                <w:ilvl w:val="2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Portugal (+14,2%, leicht steigende Todeszahlen)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Spezifische Maßnahmen (Masken, Mindestabstand) für Schulen nach Sommerferien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lastRenderedPageBreak/>
              <w:t>Die meisten Länder orientieren sich an Nachbarstaaten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Rückmeldungen aus europäischen Ländern: Keine Planung weiterer spezifischen Maßnahmen. Anpassungen in Abhängigkeit der Lage sind möglich.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Hinweis: Die USA beenden Möglichkeit kostenlose Covid-19-Tests nach Hause bestellen zu können</w:t>
            </w:r>
          </w:p>
          <w:p>
            <w:pPr>
              <w:pStyle w:val="2"/>
            </w:pPr>
          </w:p>
          <w:p>
            <w:pPr>
              <w:pStyle w:val="2"/>
            </w:pPr>
            <w:r>
              <w:t xml:space="preserve">National </w:t>
            </w:r>
          </w:p>
          <w:p>
            <w:pPr>
              <w:pStyle w:val="Liste2"/>
            </w:pPr>
            <w:proofErr w:type="spellStart"/>
            <w:r>
              <w:t>Fallzahlen</w:t>
            </w:r>
            <w:proofErr w:type="spellEnd"/>
            <w:r>
              <w:t xml:space="preserve">, </w:t>
            </w:r>
            <w:proofErr w:type="spellStart"/>
            <w:r>
              <w:t>Todesfälle</w:t>
            </w:r>
            <w:proofErr w:type="spellEnd"/>
            <w:r>
              <w:t xml:space="preserve">, Trend, </w:t>
            </w:r>
            <w:proofErr w:type="spellStart"/>
            <w:r>
              <w:t>Folien</w:t>
            </w:r>
            <w:proofErr w:type="spellEnd"/>
            <w:r>
              <w:t xml:space="preserve"> </w:t>
            </w:r>
            <w:hyperlink r:id="rId12" w:history="1">
              <w:proofErr w:type="spellStart"/>
              <w:r>
                <w:rPr>
                  <w:rStyle w:val="Hyperlink"/>
                </w:rPr>
                <w:t>hier</w:t>
              </w:r>
              <w:proofErr w:type="spellEnd"/>
            </w:hyperlink>
          </w:p>
          <w:p>
            <w:pPr>
              <w:pStyle w:val="Liste2"/>
              <w:rPr>
                <w:lang w:val="de-DE"/>
              </w:rPr>
            </w:pPr>
            <w:proofErr w:type="spellStart"/>
            <w:r>
              <w:rPr>
                <w:lang w:val="de-DE"/>
              </w:rPr>
              <w:t>SurvNet</w:t>
            </w:r>
            <w:proofErr w:type="spellEnd"/>
            <w:r>
              <w:rPr>
                <w:lang w:val="de-DE"/>
              </w:rPr>
              <w:t xml:space="preserve"> übermittelt: </w:t>
            </w:r>
            <w:proofErr w:type="spellStart"/>
            <w:r>
              <w:rPr>
                <w:lang w:val="de-DE"/>
              </w:rPr>
              <w:t>SurvNet</w:t>
            </w:r>
            <w:proofErr w:type="spellEnd"/>
            <w:r>
              <w:rPr>
                <w:lang w:val="de-DE"/>
              </w:rPr>
              <w:t xml:space="preserve"> übermittelt: 32.184.553 (+39.396), davon 147.494 (+90) Todesfälle </w:t>
            </w:r>
          </w:p>
          <w:p>
            <w:pPr>
              <w:pStyle w:val="Liste2"/>
            </w:pPr>
            <w:r>
              <w:t xml:space="preserve">7-Tage-Inzidenz:  237,3/100.000 </w:t>
            </w:r>
            <w:proofErr w:type="spellStart"/>
            <w:r>
              <w:t>Einw</w:t>
            </w:r>
            <w:proofErr w:type="spellEnd"/>
            <w:r>
              <w:t>.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Impfmonitoring: Geimpfte mit 1. Dosis 64.762.361 (77,9%), mit vollständiger Impfung 51.555.930 (62,0%)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Verlauf der 7-Tage-Inzidenz der Bundesländer:</w:t>
            </w:r>
          </w:p>
          <w:p>
            <w:pPr>
              <w:pStyle w:val="Liste3"/>
            </w:pPr>
            <w:r>
              <w:t>Leichte Abnahme der Fallzahlen, Einpendeln auf Plateau</w:t>
            </w:r>
          </w:p>
          <w:p>
            <w:pPr>
              <w:pStyle w:val="Liste3"/>
            </w:pPr>
            <w:r>
              <w:t>Geografische Verteilung: Höchste Inzidenz im LK Straubing du LK Dachau. In beiden LK haben Volksfeste stattgefunden</w:t>
            </w:r>
          </w:p>
          <w:p>
            <w:pPr>
              <w:pStyle w:val="Liste3"/>
            </w:pPr>
            <w:proofErr w:type="spellStart"/>
            <w:r>
              <w:t>Heatmap</w:t>
            </w:r>
            <w:proofErr w:type="spellEnd"/>
            <w:r>
              <w:t>: In fast allen AG Rückgänge insbes. bei den Hochbetagten; leichte Anstiege bei 5-9 sowie 10-14-Jährigen</w:t>
            </w:r>
          </w:p>
          <w:p>
            <w:pPr>
              <w:pStyle w:val="Liste3"/>
            </w:pPr>
            <w:r>
              <w:t>KW32 Abnahme der COVID-19-Fälle nach Altersgruppe und Sterbedatum</w:t>
            </w:r>
          </w:p>
          <w:p>
            <w:pPr>
              <w:pStyle w:val="Liste3"/>
            </w:pPr>
            <w:r>
              <w:t>Destatis Übersterblichkeit weist keine Änderungen zur Vorwoche auf</w:t>
            </w:r>
          </w:p>
          <w:p>
            <w:pPr>
              <w:pStyle w:val="Liste3"/>
              <w:numPr>
                <w:ilvl w:val="0"/>
                <w:numId w:val="0"/>
              </w:numPr>
              <w:ind w:left="1193" w:hanging="360"/>
            </w:pPr>
          </w:p>
          <w:p>
            <w:pPr>
              <w:pStyle w:val="Liste3"/>
              <w:numPr>
                <w:ilvl w:val="0"/>
                <w:numId w:val="0"/>
              </w:numPr>
              <w:ind w:left="1193" w:hanging="360"/>
            </w:pPr>
          </w:p>
          <w:p>
            <w:pPr>
              <w:pStyle w:val="Liste2"/>
              <w:rPr>
                <w:rStyle w:val="TagMiZchn"/>
                <w:b w:val="0"/>
                <w:bCs/>
                <w:lang w:val="de-DE"/>
              </w:rPr>
            </w:pPr>
            <w:r>
              <w:rPr>
                <w:b/>
                <w:lang w:val="de-DE"/>
              </w:rPr>
              <w:t xml:space="preserve">Zahlen zum DIVI-Intensivregister </w:t>
            </w:r>
            <w:r>
              <w:rPr>
                <w:lang w:val="de-DE"/>
              </w:rPr>
              <w:t xml:space="preserve">(Folien </w:t>
            </w:r>
            <w:hyperlink r:id="rId13" w:history="1">
              <w:r>
                <w:rPr>
                  <w:rStyle w:val="Hyperlink"/>
                  <w:lang w:val="de-DE"/>
                </w:rPr>
                <w:t>hier</w:t>
              </w:r>
            </w:hyperlink>
            <w:r>
              <w:rPr>
                <w:lang w:val="de-DE"/>
              </w:rPr>
              <w:t>)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 xml:space="preserve"> Mit Stand 31.08.2022 werden 797 COVID-19-Patient: innen auf Intensivstationen (der ca. 1.300 Akutkrankenhäuser) behandelt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Weiterhin stetige Reduktion der COVID-ITS-Belegung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ITS-COVID-Neuaufnahmen mit +695 in den letzten 7 Tagen im Rückgang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Anzahl der auf ITS-Verstorbenen fällt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Anteil der COVID-19-Patient: innen an der Gesamtzahl betreibbarer ITS-Betten</w:t>
            </w:r>
          </w:p>
          <w:p>
            <w:pPr>
              <w:pStyle w:val="Liste2"/>
              <w:numPr>
                <w:ilvl w:val="2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Schleswig-Holstein und Sachsen-Anhalt mit leichtem Anstieg</w:t>
            </w:r>
          </w:p>
          <w:p>
            <w:pPr>
              <w:pStyle w:val="Liste2"/>
              <w:numPr>
                <w:ilvl w:val="2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Sonst flächendeckend Rückgang in allen BL</w:t>
            </w:r>
          </w:p>
          <w:p>
            <w:pPr>
              <w:pStyle w:val="Liste2"/>
              <w:numPr>
                <w:ilvl w:val="2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Rückgang in allen Behandlungsgruppen</w:t>
            </w:r>
          </w:p>
          <w:p>
            <w:pPr>
              <w:pStyle w:val="Liste2"/>
              <w:numPr>
                <w:ilvl w:val="2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 xml:space="preserve">Einschätzung der Betriebssituation: </w:t>
            </w:r>
          </w:p>
          <w:p>
            <w:pPr>
              <w:pStyle w:val="Liste2"/>
              <w:numPr>
                <w:ilvl w:val="0"/>
                <w:numId w:val="0"/>
              </w:numPr>
              <w:ind w:left="2273"/>
              <w:rPr>
                <w:lang w:val="de-DE"/>
              </w:rPr>
            </w:pPr>
            <w:r>
              <w:rPr>
                <w:lang w:val="de-DE"/>
              </w:rPr>
              <w:t>Uni-Maximalversorger größerer, ansteigender Prozentsatz mit Einschränkung wohingegen Grund/Regelversorger mit sinkender Einschränkung erkennbar sind, dafür mehr teilweise eingeschränkt.</w:t>
            </w:r>
          </w:p>
          <w:p>
            <w:pPr>
              <w:pStyle w:val="Liste2"/>
              <w:numPr>
                <w:ilvl w:val="2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Gründe der Betriebssituation Personalmangel-Rückgang auf hohem Niveau</w:t>
            </w:r>
          </w:p>
          <w:p>
            <w:pPr>
              <w:pStyle w:val="Liste2"/>
              <w:numPr>
                <w:ilvl w:val="2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lastRenderedPageBreak/>
              <w:t>Rückgang in allen AG mit Ausnahme 30-39-Jährige (Anstieg) und 0-17-Jährige (Plateau)</w:t>
            </w:r>
          </w:p>
          <w:p>
            <w:pPr>
              <w:pStyle w:val="Liste2"/>
              <w:numPr>
                <w:ilvl w:val="2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 xml:space="preserve">Über 60-Jährige haben einen Anteil von über 80% an Intensivstationen </w:t>
            </w:r>
          </w:p>
          <w:p>
            <w:pPr>
              <w:pStyle w:val="Liste2"/>
              <w:numPr>
                <w:ilvl w:val="2"/>
                <w:numId w:val="7"/>
              </w:numPr>
              <w:rPr>
                <w:lang w:val="de-DE"/>
              </w:rPr>
            </w:pPr>
            <w:proofErr w:type="spellStart"/>
            <w:r>
              <w:rPr>
                <w:lang w:val="de-DE"/>
              </w:rPr>
              <w:t>SPoCK</w:t>
            </w:r>
            <w:proofErr w:type="spellEnd"/>
            <w:r>
              <w:rPr>
                <w:lang w:val="de-DE"/>
              </w:rPr>
              <w:t>-Prognose: Rückgang in allen Kleeblättern</w:t>
            </w:r>
          </w:p>
          <w:p>
            <w:pPr>
              <w:pStyle w:val="Liste2"/>
              <w:numPr>
                <w:ilvl w:val="0"/>
                <w:numId w:val="0"/>
              </w:numPr>
              <w:ind w:left="2273"/>
              <w:rPr>
                <w:lang w:val="de-DE"/>
              </w:rPr>
            </w:pPr>
          </w:p>
          <w:p>
            <w:pPr>
              <w:pStyle w:val="Liste2"/>
            </w:pPr>
            <w:proofErr w:type="spellStart"/>
            <w:r>
              <w:rPr>
                <w:b/>
              </w:rPr>
              <w:t>Molekulare</w:t>
            </w:r>
            <w:proofErr w:type="spellEnd"/>
            <w:r>
              <w:rPr>
                <w:b/>
              </w:rPr>
              <w:t xml:space="preserve"> Surveillance</w:t>
            </w:r>
            <w:r>
              <w:t xml:space="preserve"> (</w:t>
            </w:r>
            <w:proofErr w:type="spellStart"/>
            <w:r>
              <w:t>Folien</w:t>
            </w:r>
            <w:proofErr w:type="spellEnd"/>
            <w:r>
              <w:t xml:space="preserve"> </w:t>
            </w:r>
            <w:hyperlink r:id="rId14" w:history="1">
              <w:proofErr w:type="spellStart"/>
              <w:r>
                <w:rPr>
                  <w:rStyle w:val="Hyperlink"/>
                </w:rPr>
                <w:t>hier</w:t>
              </w:r>
              <w:proofErr w:type="spellEnd"/>
            </w:hyperlink>
            <w:r>
              <w:t>)</w:t>
            </w:r>
          </w:p>
          <w:p>
            <w:pPr>
              <w:pStyle w:val="Liste2"/>
              <w:numPr>
                <w:ilvl w:val="1"/>
                <w:numId w:val="7"/>
              </w:numPr>
            </w:pPr>
            <w:proofErr w:type="spellStart"/>
            <w:r>
              <w:t>Keinen</w:t>
            </w:r>
            <w:proofErr w:type="spellEnd"/>
            <w:r>
              <w:t xml:space="preserve"> Drop </w:t>
            </w:r>
            <w:proofErr w:type="spellStart"/>
            <w:r>
              <w:t>bei</w:t>
            </w:r>
            <w:proofErr w:type="spellEnd"/>
            <w:r>
              <w:t xml:space="preserve"> </w:t>
            </w:r>
            <w:proofErr w:type="spellStart"/>
            <w:r>
              <w:t>Sequenzierungen</w:t>
            </w:r>
            <w:proofErr w:type="spellEnd"/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Dominanz durch BA.5 mit 96,9%, BA.4 leicht gesunken auf 2,5%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Seit ein paar Wochen Stabilität von BA.4 und BA.5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Unter Omikron-Sublinien BA.5.1 (25,3%), BA.5.2 (22%) und BA.5.2.1 (17,2%) dominierend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Hinweis: Aktuell genaue Beobachtung von BA.4/BA.5 Fällen mit R346X Mutation, da insbesondere bei BA.5 Linien Anstieg zu verzeichnen.</w:t>
            </w:r>
          </w:p>
          <w:p>
            <w:pPr>
              <w:pStyle w:val="Liste2"/>
              <w:numPr>
                <w:ilvl w:val="0"/>
                <w:numId w:val="0"/>
              </w:numPr>
              <w:ind w:left="1193"/>
              <w:rPr>
                <w:lang w:val="de-DE"/>
              </w:rPr>
            </w:pPr>
          </w:p>
          <w:p>
            <w:pPr>
              <w:pStyle w:val="Liste2"/>
              <w:numPr>
                <w:ilvl w:val="0"/>
                <w:numId w:val="0"/>
              </w:numPr>
              <w:rPr>
                <w:i/>
                <w:lang w:val="de-DE"/>
              </w:rPr>
            </w:pPr>
            <w:r>
              <w:rPr>
                <w:i/>
                <w:lang w:val="de-DE"/>
              </w:rPr>
              <w:t>Diskussion</w:t>
            </w:r>
          </w:p>
          <w:p>
            <w:pPr>
              <w:pStyle w:val="Liste2"/>
              <w:numPr>
                <w:ilvl w:val="0"/>
                <w:numId w:val="29"/>
              </w:numPr>
              <w:rPr>
                <w:lang w:val="de-DE"/>
              </w:rPr>
            </w:pPr>
            <w:r>
              <w:rPr>
                <w:lang w:val="de-DE"/>
              </w:rPr>
              <w:t>Anteil Sequenzierter Proben ist konstant - aber unter 5 % - widerspricht das der Verordnung?</w:t>
            </w:r>
          </w:p>
          <w:p>
            <w:pPr>
              <w:pStyle w:val="Liste2"/>
              <w:numPr>
                <w:ilvl w:val="0"/>
                <w:numId w:val="28"/>
              </w:numPr>
              <w:rPr>
                <w:lang w:val="de-DE"/>
              </w:rPr>
            </w:pPr>
            <w:r>
              <w:rPr>
                <w:lang w:val="de-DE"/>
              </w:rPr>
              <w:t>Wird derzeit nicht als Problem angesehen</w:t>
            </w:r>
          </w:p>
          <w:p>
            <w:pPr>
              <w:pStyle w:val="Liste2"/>
              <w:numPr>
                <w:ilvl w:val="0"/>
                <w:numId w:val="27"/>
              </w:numPr>
              <w:rPr>
                <w:lang w:val="de-DE"/>
              </w:rPr>
            </w:pPr>
            <w:r>
              <w:rPr>
                <w:lang w:val="de-DE"/>
              </w:rPr>
              <w:t>Martin Mielke bringt das nochmal in die AG Labor (BMG) mit ein</w:t>
            </w:r>
          </w:p>
          <w:p>
            <w:pPr>
              <w:pStyle w:val="Liste2"/>
              <w:numPr>
                <w:ilvl w:val="0"/>
                <w:numId w:val="0"/>
              </w:numPr>
              <w:rPr>
                <w:lang w:val="de-DE"/>
              </w:rPr>
            </w:pPr>
          </w:p>
          <w:p>
            <w:pPr>
              <w:pStyle w:val="Liste2"/>
              <w:numPr>
                <w:ilvl w:val="0"/>
                <w:numId w:val="0"/>
              </w:numPr>
              <w:ind w:left="1553"/>
              <w:rPr>
                <w:lang w:val="de-DE"/>
              </w:rPr>
            </w:pPr>
          </w:p>
          <w:p>
            <w:pPr>
              <w:pStyle w:val="Liste2"/>
            </w:pPr>
            <w:proofErr w:type="spellStart"/>
            <w:r>
              <w:rPr>
                <w:b/>
              </w:rPr>
              <w:t>Syndromische</w:t>
            </w:r>
            <w:proofErr w:type="spellEnd"/>
            <w:r>
              <w:rPr>
                <w:b/>
              </w:rPr>
              <w:t xml:space="preserve"> Surveillance</w:t>
            </w:r>
            <w:r>
              <w:rPr>
                <w:rStyle w:val="TagMiZchn"/>
              </w:rPr>
              <w:t xml:space="preserve"> </w:t>
            </w:r>
            <w:r>
              <w:rPr>
                <w:rStyle w:val="TagMiZchn"/>
                <w:b w:val="0"/>
                <w:i w:val="0"/>
                <w:color w:val="000000" w:themeColor="text1"/>
              </w:rPr>
              <w:t>(</w:t>
            </w:r>
            <w:proofErr w:type="spellStart"/>
            <w:r>
              <w:rPr>
                <w:rStyle w:val="TagMiZchn"/>
                <w:b w:val="0"/>
                <w:i w:val="0"/>
                <w:color w:val="000000" w:themeColor="text1"/>
              </w:rPr>
              <w:t>Folien</w:t>
            </w:r>
            <w:proofErr w:type="spellEnd"/>
            <w:r>
              <w:rPr>
                <w:rStyle w:val="TagMiZchn"/>
                <w:b w:val="0"/>
                <w:i w:val="0"/>
                <w:color w:val="000000" w:themeColor="text1"/>
              </w:rPr>
              <w:t xml:space="preserve"> </w:t>
            </w:r>
            <w:hyperlink r:id="rId15" w:history="1">
              <w:proofErr w:type="spellStart"/>
              <w:r>
                <w:rPr>
                  <w:rStyle w:val="Hyperlink"/>
                </w:rPr>
                <w:t>hier</w:t>
              </w:r>
              <w:proofErr w:type="spellEnd"/>
            </w:hyperlink>
            <w:r>
              <w:rPr>
                <w:rStyle w:val="TagMiZchn"/>
                <w:b w:val="0"/>
                <w:i w:val="0"/>
                <w:color w:val="000000" w:themeColor="text1"/>
              </w:rPr>
              <w:t>)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 xml:space="preserve">ARE gesamt: </w:t>
            </w:r>
            <w:proofErr w:type="spellStart"/>
            <w:r>
              <w:rPr>
                <w:lang w:val="de-DE"/>
              </w:rPr>
              <w:t>liecht</w:t>
            </w:r>
            <w:proofErr w:type="spellEnd"/>
            <w:r>
              <w:rPr>
                <w:lang w:val="de-DE"/>
              </w:rPr>
              <w:t xml:space="preserve"> gestiegen 3,3 % (Vorwoche: 3,0 %)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 xml:space="preserve">Trend: in den letzten Wochen (seit 28. KW) bis 31. KW ein rückläufiger Trend, seitdem schwanken die Werte 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liegt mit 3,3 % im Bereich der Vorjahre zur 34. KW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Leichter Anstieg bei den Kindern: 6,5 % (Vorwoche: 6,1 %); relativ stabil bei den Erwachsenen: (2,8 %; Vorwoche: 2,6 %)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ARE 5 AGs: deutlicher Anstieg bei den 5- bis 14-Jährigen in allen anderen AGs gesunken oder nur leicht gestiegen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 xml:space="preserve">Ambulanter Bereich entspannt sich 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In der 34. KW wurden bundesweit etwas weniger Arztbesuche wegen ARE registriert als in der Vorwoche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KI im Vergleich zur Vorwoche insgesamt: weiter leicht rückläufig in KW 334 insgesamt mit 782 (Vorwoche: 857)</w:t>
            </w:r>
          </w:p>
          <w:p>
            <w:pPr>
              <w:pStyle w:val="Liste2"/>
              <w:numPr>
                <w:ilvl w:val="0"/>
                <w:numId w:val="0"/>
              </w:numPr>
              <w:ind w:left="1553"/>
              <w:rPr>
                <w:lang w:val="de-DE"/>
              </w:rPr>
            </w:pPr>
            <w:r>
              <w:rPr>
                <w:lang w:val="de-DE"/>
              </w:rPr>
              <w:t>liegt bei ca.800; seit KW 28 rückläufig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Insgesamt über dem Bereich der Vorjahre zur 34. KW, bei den 0-14-Jährigen ähnlich der vorpandemischen Werte, nur bei den Erwachsenen noch teilweise doppelt so hohe Werte; nähert sich den Vorjahren langsam an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lastRenderedPageBreak/>
              <w:t>Rückgang zur Vorwoche bei den ab 15-Jährigen (zwischen 11% und 25%); Anstieg bei den Kindern: 0-4J: 6%; bei Schulkindern (5-14J.) deutlicher: um 21% gestiegen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Noch 50-60 % der BL noch in den Sommerferien in KW34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nachdem die Anzahl der Arztkonsultationen wegen COVID-ARE ab KW 22/2022 deutlich angestiegen war, wird seit KW 29/2022 insgesamt ein Rückgang der Werte beobachtet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SEED (Are) mit COVID-19 Konsultationen in AG bis zur 34. KW 2022 sind die Werte in allen AG gesunken, seit KW 29/2022 setzt sich der rückläufige Trend fort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 xml:space="preserve">SARI-Fallzahlen sind in der 34. KW 2022 insgesamt nur leicht gesunken, SARI-Fälle mit Intensivbehandlung stabil geblieben im Vergleich zur Vorwoche, Weiterhin auf üblichem Sommerniveau 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 xml:space="preserve"> Anteil COVID-19 an SARI ist im Vgl. zur Vorwoche in KW 34 leicht gesunken: 24 % (Vorwoche: 32 %)  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 xml:space="preserve">Anteil COVID-19 an SARI </w:t>
            </w:r>
            <w:r>
              <w:rPr>
                <w:bCs/>
                <w:lang w:val="de-DE"/>
              </w:rPr>
              <w:t>mit Intensivbehandlung</w:t>
            </w:r>
            <w:r>
              <w:rPr>
                <w:b/>
                <w:bCs/>
                <w:lang w:val="de-DE"/>
              </w:rPr>
              <w:t xml:space="preserve"> </w:t>
            </w:r>
            <w:r>
              <w:rPr>
                <w:lang w:val="de-DE"/>
              </w:rPr>
              <w:t xml:space="preserve">ebenfalls gesunken: 18 % (Vorwoche: 26 %), 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Anteil Influenza seit KW 25 unter 1%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SARI-Fallzahlen in fast allen Altersgruppen auf Sommerniveau; leichter Anstieg in den AG unter 15 Jahren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AG ab 80 Jahre bleibt weiterhin etwas über den Werten der Vorjahre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Anteil COVID-19-Diagnosen in den AG 35+ ist leicht gesunken im Vgl. zur Vorwoche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Hospitalisierungsinzidenz COVID-SARI bis zur 34. KW 2022: Gesamt: 2,3 COVID-SARI pro 100.000 (entspricht ca. 1.900 neuen Krankenhausaufnahmen wegen COVID-SARI in Deutschland)</w:t>
            </w:r>
          </w:p>
          <w:p>
            <w:pPr>
              <w:pStyle w:val="Liste2"/>
              <w:numPr>
                <w:ilvl w:val="0"/>
                <w:numId w:val="0"/>
              </w:numPr>
              <w:ind w:left="1193"/>
              <w:rPr>
                <w:lang w:val="de-DE"/>
              </w:rPr>
            </w:pPr>
          </w:p>
          <w:p>
            <w:pPr>
              <w:pStyle w:val="Liste2"/>
              <w:rPr>
                <w:rStyle w:val="TagMiZchn"/>
                <w:b w:val="0"/>
                <w:lang w:val="de-DE"/>
              </w:rPr>
            </w:pPr>
            <w:r>
              <w:rPr>
                <w:b/>
                <w:lang w:val="de-DE"/>
              </w:rPr>
              <w:t xml:space="preserve">Virologische Surveillance, NRZ Influenza-Daten 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Keine Änderungen zur Vorwoche bei SARS-CoV-2 (16%)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Anstieg von AH3N2-Nachweisen auf 7%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Andere Coronaviren oder Influenzaviren waren nicht nachweisbar</w:t>
            </w:r>
          </w:p>
          <w:p>
            <w:pPr>
              <w:pStyle w:val="Liste2"/>
              <w:numPr>
                <w:ilvl w:val="1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>Anstieg RSV auf 5%, PIV und HRV auf gleichem Niveau (18%), kein Nachweis von HMPV</w:t>
            </w:r>
          </w:p>
          <w:p>
            <w:pPr>
              <w:pStyle w:val="Liste2"/>
              <w:numPr>
                <w:ilvl w:val="0"/>
                <w:numId w:val="0"/>
              </w:numPr>
              <w:ind w:left="833" w:hanging="360"/>
              <w:rPr>
                <w:lang w:val="de-DE"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ZIG1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(Kerber)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FG32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(Diercke)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MF4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(Fischer)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(Kröger)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(Tolksdorf)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FG17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(Biere)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Update Impfen</w:t>
            </w:r>
            <w:r>
              <w:rPr>
                <w:b/>
                <w:sz w:val="28"/>
              </w:rPr>
              <w:t xml:space="preserve"> 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pStyle w:val="Liste1"/>
              <w:numPr>
                <w:ilvl w:val="0"/>
                <w:numId w:val="0"/>
              </w:numPr>
              <w:ind w:left="473"/>
              <w:rPr>
                <w:rStyle w:val="1Zchn"/>
                <w:b w:val="0"/>
                <w:sz w:val="22"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33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(Wichmann)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Internationales</w:t>
            </w:r>
            <w:r>
              <w:rPr>
                <w:b/>
                <w:color w:val="FF0000"/>
              </w:rPr>
              <w:t xml:space="preserve"> 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rStyle w:val="1Zchn"/>
              </w:rPr>
              <w:t>Update digitale Projekte</w:t>
            </w:r>
            <w:r>
              <w:rPr>
                <w:b/>
                <w:sz w:val="28"/>
              </w:rPr>
              <w:t xml:space="preserve"> 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FG21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(Schmich)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 xml:space="preserve">Daten aus der Gesundheitsberichterstattung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(nicht berichtet)</w:t>
            </w:r>
          </w:p>
          <w:p>
            <w:pPr>
              <w:pStyle w:val="Liste2"/>
              <w:numPr>
                <w:ilvl w:val="0"/>
                <w:numId w:val="0"/>
              </w:numPr>
              <w:ind w:left="473"/>
              <w:rPr>
                <w:lang w:val="de-DE"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Abt. 2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Aktuelle Risikobewertung</w:t>
            </w:r>
          </w:p>
          <w:p>
            <w:pPr>
              <w:pStyle w:val="Liste1"/>
            </w:pPr>
            <w:r>
              <w:t xml:space="preserve">  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FG31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(Rexroth)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 xml:space="preserve">Expertenbeirat </w:t>
            </w:r>
            <w:r>
              <w:rPr>
                <w:i/>
                <w:color w:val="95B3D7" w:themeColor="accent1" w:themeTint="99"/>
                <w:sz w:val="20"/>
              </w:rPr>
              <w:t>(montags Vorbereitung, mittwochs Nachbereitung)</w:t>
            </w:r>
          </w:p>
          <w:p>
            <w:pPr>
              <w:pStyle w:val="Liste1"/>
            </w:pPr>
            <w:r>
              <w:t xml:space="preserve">  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Praes</w:t>
            </w:r>
            <w:proofErr w:type="spellEnd"/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Kommunikation</w:t>
            </w:r>
          </w:p>
          <w:p>
            <w:pPr>
              <w:pStyle w:val="2"/>
            </w:pPr>
            <w:r>
              <w:t>BZgA</w:t>
            </w:r>
          </w:p>
          <w:p>
            <w:pPr>
              <w:pStyle w:val="Liste1"/>
            </w:pPr>
            <w:r>
              <w:t>Aktuelle Merkblätter werden hinsichtlich neuster STIKO-Empfehlungen angepasst</w:t>
            </w:r>
          </w:p>
          <w:p>
            <w:pPr>
              <w:pStyle w:val="Liste1"/>
            </w:pPr>
            <w:r>
              <w:t>BZgA Corona-Impfcheck wird voraussichtlich im Laufe des Septembers auf infektionsschutz.de verfügbar sein</w:t>
            </w:r>
          </w:p>
          <w:p>
            <w:pPr>
              <w:pStyle w:val="Liste1"/>
              <w:numPr>
                <w:ilvl w:val="0"/>
                <w:numId w:val="0"/>
              </w:numPr>
              <w:ind w:left="473"/>
            </w:pPr>
          </w:p>
          <w:p>
            <w:pPr>
              <w:pStyle w:val="2"/>
            </w:pPr>
            <w:r>
              <w:t>Presse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pStyle w:val="2"/>
            </w:pPr>
            <w:r>
              <w:t>P1</w:t>
            </w:r>
          </w:p>
          <w:p>
            <w:pPr>
              <w:pStyle w:val="Liste1"/>
              <w:rPr>
                <w:i/>
              </w:rPr>
            </w:pPr>
            <w:r>
              <w:t xml:space="preserve">Flyer zu Herbst/Winter ist in Arbeit. Frau Leuker ist mit </w:t>
            </w:r>
            <w:proofErr w:type="spellStart"/>
            <w:r>
              <w:t>allenBeteiligten</w:t>
            </w:r>
            <w:proofErr w:type="spellEnd"/>
            <w:r>
              <w:t xml:space="preserve"> in Austausch.</w:t>
            </w:r>
          </w:p>
          <w:p>
            <w:pPr>
              <w:pStyle w:val="Liste1"/>
              <w:numPr>
                <w:ilvl w:val="0"/>
                <w:numId w:val="0"/>
              </w:numPr>
              <w:rPr>
                <w:i/>
              </w:rPr>
            </w:pP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  <w:rPr>
                <w:i/>
              </w:rPr>
            </w:pPr>
            <w:r>
              <w:rPr>
                <w:i/>
              </w:rPr>
              <w:t>Diskussion</w:t>
            </w:r>
          </w:p>
          <w:p>
            <w:pPr>
              <w:pStyle w:val="Liste1"/>
            </w:pPr>
            <w:r>
              <w:t xml:space="preserve">Sind in Deutschland Kampagnen zur Behandlung mit </w:t>
            </w:r>
            <w:proofErr w:type="spellStart"/>
            <w:r>
              <w:t>Coronamedikamenten</w:t>
            </w:r>
            <w:proofErr w:type="spellEnd"/>
            <w:r>
              <w:t xml:space="preserve"> wie </w:t>
            </w:r>
            <w:proofErr w:type="spellStart"/>
            <w:r>
              <w:t>Paxlovid</w:t>
            </w:r>
            <w:proofErr w:type="spellEnd"/>
            <w:r>
              <w:t xml:space="preserve"> angedacht?</w:t>
            </w:r>
          </w:p>
          <w:p>
            <w:pPr>
              <w:pStyle w:val="Liste3"/>
            </w:pPr>
            <w:r>
              <w:t>Dokumente befinden sich in Überarbeitung. Letzte Woche gab es Publikationen, die Vorteile der Behandlung an Geimpften aufzeigen. Zudem ist eine Fortbildung für Hausärzte in Zusammenarbeit mit dem Hausärzteverband angedacht.</w:t>
            </w:r>
          </w:p>
          <w:p>
            <w:pPr>
              <w:pStyle w:val="Liste1"/>
            </w:pPr>
            <w:r>
              <w:t>Wie ist die Interaktion mit anderen Medikamenten und wie sind die Nebenwirkungen zu bewerten?</w:t>
            </w:r>
          </w:p>
          <w:p>
            <w:pPr>
              <w:pStyle w:val="Liste3"/>
            </w:pPr>
            <w:r>
              <w:t>Präzisierung der Risikofaktoren ist komplex. Ergebnisse der Publikationen deuten eher auf eine Empfehlung für die ältere Bevölkerung ab 65 Jahren hin. Zu Neben/-wechselwirkungen bietet Liverpool Interaction Checker eine gute Orientierung.</w:t>
            </w:r>
          </w:p>
          <w:p>
            <w:pPr>
              <w:pStyle w:val="Liste1"/>
            </w:pPr>
            <w:r>
              <w:t>Der Minister hat neuen Impfstoffen eine bessere Wirkung zugeschrieben und zeitgleiche eine neue, große Informationskampagne angekündigt. Ist die Kampagne in Zusammenarbeit mit der BZgA?</w:t>
            </w:r>
          </w:p>
          <w:p>
            <w:pPr>
              <w:pStyle w:val="Liste3"/>
            </w:pPr>
            <w:r>
              <w:t>Das RKI ist hier mit eingebunden. Ein Termin dazu findet am Freitag mit dem BMG statt.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BZgA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(Steffens)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(Degen)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</w:t>
            </w:r>
            <w:r>
              <w:rPr>
                <w:sz w:val="22"/>
                <w:szCs w:val="22"/>
              </w:rPr>
              <w:br/>
              <w:t>(Lein)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RKI-Strategie Fragen</w:t>
            </w:r>
          </w:p>
          <w:p>
            <w:pPr>
              <w:pStyle w:val="2"/>
            </w:pPr>
            <w:r>
              <w:lastRenderedPageBreak/>
              <w:t>Allgemein</w:t>
            </w:r>
          </w:p>
          <w:p>
            <w:pPr>
              <w:pStyle w:val="Liste1"/>
            </w:pPr>
            <w:r>
              <w:t>Stellungnahme Bundesregierung zum IfSG-Evaluationsbericht</w:t>
            </w:r>
          </w:p>
          <w:p>
            <w:pPr>
              <w:pStyle w:val="Liste3"/>
            </w:pPr>
            <w:r>
              <w:t>In einer 40-seitigen Stellungnahme der Bundesregierung wird das RKI mehrfach erwähnt. Einige Stellen könnten für das RKI nachteilig sein und sollten kommentiert und Anmerkungen eingebracht werden.</w:t>
            </w:r>
          </w:p>
          <w:p>
            <w:pPr>
              <w:pStyle w:val="Liste3"/>
            </w:pPr>
            <w:r>
              <w:t>Datengrundlage in Deutschland wird schlechter dargestellt als sie ist.</w:t>
            </w:r>
          </w:p>
          <w:p>
            <w:pPr>
              <w:pStyle w:val="Liste3"/>
            </w:pPr>
            <w:r>
              <w:t>Im Punkt Kommunikation könnte hineininterpretiert werden, dass das RKI keinen relevanten Anteil beigesteuert hat.</w:t>
            </w:r>
          </w:p>
          <w:p>
            <w:pPr>
              <w:pStyle w:val="Liste3"/>
            </w:pPr>
            <w:r>
              <w:t>Fokus sollte auf inhaltliche Falschaussagen mit konkreten Formulierungsvorschlägen liegen</w:t>
            </w:r>
          </w:p>
          <w:p>
            <w:pPr>
              <w:pStyle w:val="Liste3"/>
            </w:pPr>
            <w:r>
              <w:t>Eigene Stellungnahme ungünstig, da Angriffsflächen entstehen. Gefahr ist größer als der Nutzen.</w:t>
            </w:r>
          </w:p>
          <w:p>
            <w:pPr>
              <w:pStyle w:val="Liste3"/>
            </w:pPr>
            <w:r>
              <w:t>Anmerkungen und Kommentare zu dieser Stellungnahme können bis Freitag 02.09. DS beim BMG eingereicht werden. Herr Schaade möchte es gerne bis 16:00 Uhr erhalten. Abteilungsleiter sollten es vorher durchschauen. Beteiligt sind insbesondere FG32 und FG36.</w:t>
            </w:r>
            <w:bookmarkStart w:id="1" w:name="_GoBack"/>
            <w:bookmarkEnd w:id="1"/>
          </w:p>
          <w:p>
            <w:pPr>
              <w:pStyle w:val="Liste3"/>
            </w:pPr>
            <w:r>
              <w:t>Es wird eine Aufgabe für die Koordinierungsstelle erstellt.</w:t>
            </w:r>
          </w:p>
          <w:p>
            <w:pPr>
              <w:pStyle w:val="2"/>
              <w:rPr>
                <w:i/>
              </w:rPr>
            </w:pPr>
            <w:r>
              <w:t>RKI-intern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FG31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(Rexroth)</w:t>
            </w: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Alle</w:t>
            </w:r>
            <w:proofErr w:type="spellEnd"/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Dokumente</w:t>
            </w:r>
          </w:p>
          <w:p>
            <w:pPr>
              <w:pStyle w:val="Liste1"/>
            </w:pPr>
            <w:r>
              <w:t xml:space="preserve">FAQ zu Todesfällen (Anteile an/mit verstorben) Entwurf </w:t>
            </w:r>
            <w:hyperlink r:id="rId16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3"/>
            </w:pPr>
            <w:r>
              <w:t>Vorschlag bereits vorhandenes FAQ: „Wie werden COVID-19-Todesfälle am RKI erhoben“ um folgenden Zusatz zu ergänzen: In den Jahren 2020 und 2021 wurden bei 95% der COVID-19 Todesfälle eine Angabe zur Todesursache an das RKI übermittelt und von diesen verstarben etwa 90% an COVID, etwa 10% verstarben mit COVID-19. Seit die Omikron-Variante in Deutschland dominiert (seit KW 02/2022) wurden in 94% der COVID-19 Todesfälle eine Angabe zur Todesursache übermittelt und etwa 80% dieser Todesfälle verstarben an COVID-19, etwa 20% verstarben mit COVID-19.</w:t>
            </w:r>
          </w:p>
          <w:p>
            <w:pPr>
              <w:pStyle w:val="Liste3"/>
              <w:numPr>
                <w:ilvl w:val="0"/>
                <w:numId w:val="0"/>
              </w:numPr>
            </w:pPr>
          </w:p>
          <w:p>
            <w:pPr>
              <w:pStyle w:val="Liste3"/>
              <w:numPr>
                <w:ilvl w:val="0"/>
                <w:numId w:val="0"/>
              </w:numPr>
              <w:rPr>
                <w:i/>
              </w:rPr>
            </w:pPr>
            <w:r>
              <w:rPr>
                <w:i/>
              </w:rPr>
              <w:t>Diskussion</w:t>
            </w:r>
          </w:p>
          <w:p>
            <w:pPr>
              <w:pStyle w:val="Liste3"/>
            </w:pPr>
            <w:r>
              <w:t>In Hamburg besteht Angabe, dass 49% aller COVID-19 Todesfälle auch an COVID-19 verstorben sind.</w:t>
            </w:r>
          </w:p>
          <w:p>
            <w:pPr>
              <w:pStyle w:val="Liste3"/>
              <w:numPr>
                <w:ilvl w:val="2"/>
                <w:numId w:val="6"/>
              </w:numPr>
            </w:pPr>
            <w:r>
              <w:t>Genaue Ermittlung dieser Zahl unklar.</w:t>
            </w:r>
          </w:p>
          <w:p>
            <w:pPr>
              <w:pStyle w:val="Liste3"/>
            </w:pPr>
            <w:r>
              <w:t>Wie erklären wir diese Aktualisierung?</w:t>
            </w:r>
          </w:p>
          <w:p>
            <w:pPr>
              <w:pStyle w:val="Liste3"/>
              <w:numPr>
                <w:ilvl w:val="2"/>
                <w:numId w:val="6"/>
              </w:numPr>
            </w:pPr>
            <w:r>
              <w:t>In der aktuellen Diskussion in Zusammenhang mit Omikron. Zur Darstellung des geringen Unterschieds durch die Omikron-Variante.</w:t>
            </w:r>
          </w:p>
          <w:p>
            <w:pPr>
              <w:pStyle w:val="Liste3"/>
            </w:pPr>
            <w:r>
              <w:t>Unsicherheit einer genauen Ermittlung „an und/oder mit COVID-19“ sollte im Text deutlicher dargestellt und stärker relativiert werden.</w:t>
            </w:r>
          </w:p>
          <w:p>
            <w:pPr>
              <w:pStyle w:val="Liste3"/>
            </w:pPr>
            <w:r>
              <w:lastRenderedPageBreak/>
              <w:t>Anmerkung, dass FAQs eher allgemein gehalten werden sollten. Spezifische Ergebnisse mit Verweis z.B. auf Wochenbericht.</w:t>
            </w:r>
          </w:p>
          <w:p>
            <w:pPr>
              <w:pStyle w:val="Liste3"/>
            </w:pPr>
            <w:r>
              <w:t>Redaktionelle Änderungen werden für den Wochenbericht nächste Woche vorbereitet, im nächsten JF am Freitag angesprochen und aus den FAQs darauf verwiesen.</w:t>
            </w:r>
          </w:p>
          <w:p>
            <w:pPr>
              <w:pStyle w:val="Liste1"/>
              <w:numPr>
                <w:ilvl w:val="0"/>
                <w:numId w:val="0"/>
              </w:num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FG34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an der Heiden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Klinisches Management/Entlassungsmanagement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ZBS7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Maßnahmen zum Infektionsschutz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FG37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(Eckmanns)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2"/>
              </w:rPr>
            </w:pPr>
            <w:r>
              <w:t>Surveillance</w:t>
            </w:r>
          </w:p>
          <w:p>
            <w:pPr>
              <w:pStyle w:val="Liste1"/>
            </w:pPr>
            <w:r>
              <w:t xml:space="preserve">Vorschlag Kürzen von Erfassungsentitäten (Intensivregister) und Anpassung </w:t>
            </w:r>
            <w:proofErr w:type="spellStart"/>
            <w:r>
              <w:t>DIVIReg</w:t>
            </w:r>
            <w:proofErr w:type="spellEnd"/>
            <w:r>
              <w:t xml:space="preserve">-VO, Folien </w:t>
            </w:r>
            <w:hyperlink r:id="rId17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3"/>
            </w:pPr>
            <w:r>
              <w:t>Im Kern geht es darum das Intensivregister zu verschlanken und Erfassungsentitäten zu pausieren/streichen.</w:t>
            </w:r>
          </w:p>
          <w:p>
            <w:pPr>
              <w:pStyle w:val="Liste3"/>
            </w:pPr>
            <w:r>
              <w:t>Vorschlagskandidaten zum Pausieren in der Erfassung: ICU-Reserve, Schwangere und frisch Entbundene mit COVID-19, Aktuelle COVID-19-Patient*innen nach Virusvarianten, SARS-CoV2-Impfstatus der COVID-19 IST-Erstaufnahmen und Verfügbarkeit Nierenersatz-Behandlung</w:t>
            </w:r>
          </w:p>
          <w:p>
            <w:pPr>
              <w:pStyle w:val="Liste3"/>
            </w:pPr>
            <w:r>
              <w:t>Vorschlag Belegungs-Anzahl der SARS-CoV-2 Patient*innen differenzieren nach: A. Primäre Lungen- und/oder Systembeteiligung der COVID Infektion, B. COVID-19 Infektion als Nebendiagnose mit Einfluss auf die Grunderkrankung und C. SARS-CoV-2 Infektion mit keinem Einfluss auf die Grunderkrankung</w:t>
            </w:r>
          </w:p>
          <w:p>
            <w:pPr>
              <w:pStyle w:val="Liste3"/>
            </w:pPr>
            <w:r>
              <w:t>Umsetzung des Vorschlags führt laut Frau Diercke zu keinen Problemen.</w:t>
            </w:r>
          </w:p>
          <w:p>
            <w:pPr>
              <w:pStyle w:val="Liste3"/>
            </w:pPr>
            <w:r>
              <w:t>Es sollte vermieden werden, gleiche Informationen in verschiedenen Systemen erfassen zu müssen.</w:t>
            </w:r>
          </w:p>
          <w:p>
            <w:pPr>
              <w:pStyle w:val="Liste3"/>
            </w:pPr>
            <w:r>
              <w:t xml:space="preserve">Unterer Vorschlag wird in unserer Rückmeldung nicht mit aufgenommen, für die oberen Punkte wird eine </w:t>
            </w:r>
            <w:proofErr w:type="spellStart"/>
            <w:r>
              <w:t>Pausierung</w:t>
            </w:r>
            <w:proofErr w:type="spellEnd"/>
            <w:r>
              <w:t xml:space="preserve"> angestrebt. Falls eine Äußerung gewünscht ist, werden wir favorisieren es in DEMIS zu erfassen.</w:t>
            </w:r>
          </w:p>
          <w:p>
            <w:pPr>
              <w:pStyle w:val="Liste1"/>
              <w:numPr>
                <w:ilvl w:val="0"/>
                <w:numId w:val="0"/>
              </w:numPr>
              <w:ind w:left="473"/>
            </w:pPr>
          </w:p>
          <w:p>
            <w:pPr>
              <w:pStyle w:val="Liste1"/>
            </w:pPr>
            <w:r>
              <w:t>Information aus IT4: Künftig erfolgt Mo-Fr nach 18.00 Uhr oder am Wochenende kein Einlesen mehr von Zahlen aus dem Meldewesen</w:t>
            </w:r>
          </w:p>
          <w:p>
            <w:pPr>
              <w:pStyle w:val="Liste3"/>
            </w:pPr>
            <w:r>
              <w:t>Aufgrund der Überstunden und der Notwendigkeit diese abzubauen kein Einlesen im genannten Zeitraum mehr</w:t>
            </w:r>
          </w:p>
          <w:p>
            <w:pPr>
              <w:pStyle w:val="Liste3"/>
            </w:pPr>
            <w:r>
              <w:t>dpa meldet bereits jeden Montag, dass sie montags nichts mehr melden, weil es keine Daten gibt</w:t>
            </w:r>
          </w:p>
          <w:p>
            <w:pPr>
              <w:pStyle w:val="Liste3"/>
              <w:rPr>
                <w:i/>
              </w:rPr>
            </w:pPr>
            <w:r>
              <w:t>Bericht wird weiter erstellt</w:t>
            </w:r>
          </w:p>
          <w:p>
            <w:pPr>
              <w:pStyle w:val="Liste3"/>
              <w:rPr>
                <w:i/>
              </w:rPr>
            </w:pPr>
            <w:r>
              <w:t xml:space="preserve">Sprachregelung auf Nachfragen: Wir können diesen Sonntag personell nicht besetzen. Das Einlesen am </w:t>
            </w:r>
            <w:r>
              <w:lastRenderedPageBreak/>
              <w:t>Wochenende wird eingestellt, weil es personell nicht besetzt werden kann.</w:t>
            </w:r>
          </w:p>
          <w:p>
            <w:pPr>
              <w:pStyle w:val="Liste1"/>
            </w:pPr>
            <w:r>
              <w:t>Erlass zum Pandemiebericht</w:t>
            </w:r>
          </w:p>
          <w:p>
            <w:pPr>
              <w:pStyle w:val="Liste3"/>
            </w:pPr>
            <w:r>
              <w:t>Aktueller Stand: Trendbericht soll verwendet werden. Zusätzliche Indikatoren sollen mit aufgenommen werden – Ministerentscheidung steht noch aus</w:t>
            </w:r>
          </w:p>
          <w:p>
            <w:pPr>
              <w:pStyle w:val="Liste3"/>
            </w:pPr>
            <w:r>
              <w:t>Ab dem 17.09. Visualisierung des Pandemieradars auf der Trendseite</w:t>
            </w:r>
          </w:p>
          <w:p>
            <w:pPr>
              <w:pStyle w:val="Liste3"/>
            </w:pPr>
            <w:r>
              <w:t>Ab dem 23.09. soll der Pandemieradar mit im Wochenbericht aufgegriffen werden</w:t>
            </w:r>
          </w:p>
          <w:p>
            <w:pPr>
              <w:pStyle w:val="Liste3"/>
            </w:pPr>
            <w:r>
              <w:t>Zwei neue Indikatoren: Abwasser-Surveillance und Bettenbelegung. Neue Erhebungssysteme für die Daten am 17.09. noch nicht verfügbar sein könnten.</w:t>
            </w:r>
          </w:p>
          <w:p>
            <w:pPr>
              <w:pStyle w:val="Liste3"/>
            </w:pPr>
            <w:r>
              <w:t>Abwasser-Surveillance soll mit farblichen Trends (Ampel) nach Standorten dargestellt werden</w:t>
            </w:r>
          </w:p>
          <w:p>
            <w:pPr>
              <w:pStyle w:val="Liste3"/>
            </w:pPr>
            <w:r>
              <w:t>Koordination als Ansprechpartner im RKI übernimmt FG32</w:t>
            </w:r>
          </w:p>
          <w:p>
            <w:pPr>
              <w:pStyle w:val="Liste3"/>
              <w:numPr>
                <w:ilvl w:val="0"/>
                <w:numId w:val="0"/>
              </w:numPr>
              <w:ind w:left="1193"/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MF4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(Fischer)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FG31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(Rexroth)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(Diercke)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6824" w:type="dxa"/>
          </w:tcPr>
          <w:p>
            <w:pPr>
              <w:spacing w:after="120" w:line="276" w:lineRule="auto"/>
              <w:rPr>
                <w:b/>
                <w:sz w:val="28"/>
              </w:rPr>
            </w:pPr>
            <w:r>
              <w:rPr>
                <w:rStyle w:val="1Zchn"/>
              </w:rPr>
              <w:t>Transport und Grenzübergangsstellen</w:t>
            </w:r>
            <w:r>
              <w:rPr>
                <w:b/>
                <w:sz w:val="28"/>
              </w:rPr>
              <w:t xml:space="preserve"> </w:t>
            </w:r>
          </w:p>
          <w:p>
            <w:pPr>
              <w:pStyle w:val="Liste1"/>
            </w:pPr>
            <w:r>
              <w:t>nicht berichtet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FG31 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Information aus der Koordinierungsstelle</w:t>
            </w:r>
            <w:r>
              <w:rPr>
                <w:b/>
                <w:sz w:val="28"/>
              </w:rPr>
              <w:t xml:space="preserve"> 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pStyle w:val="Liste1"/>
              <w:numPr>
                <w:ilvl w:val="0"/>
                <w:numId w:val="0"/>
              </w:numPr>
              <w:ind w:left="473"/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FG31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Wichtige Termine</w:t>
            </w:r>
          </w:p>
          <w:p>
            <w:pPr>
              <w:pStyle w:val="Liste1"/>
            </w:pPr>
            <w:r>
              <w:t>keine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Andere Themen</w:t>
            </w:r>
          </w:p>
          <w:p>
            <w:pPr>
              <w:pStyle w:val="Liste1"/>
            </w:pPr>
            <w:r>
              <w:t>Nächste Sitzung: Mittwoch, 07.09.2022 11:00 Uhr, via Webex</w:t>
            </w:r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b/>
        </w:rPr>
        <w:t>Ende: 11:00 Uhr</w:t>
      </w:r>
    </w:p>
    <w:sectPr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</w:t>
    </w:r>
    <w:r>
      <w:rPr>
        <w:color w:val="1F497D" w:themeColor="text2"/>
      </w:rPr>
      <w:tab/>
    </w:r>
    <w:r>
      <w:rPr>
        <w:color w:val="1F497D" w:themeColor="text2"/>
      </w:rPr>
      <w:tab/>
      <w:t>Protokoll der COVID-19-Lage-AG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D84"/>
    <w:multiLevelType w:val="hybridMultilevel"/>
    <w:tmpl w:val="17BCFED6"/>
    <w:lvl w:ilvl="0" w:tplc="24E48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84D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AAD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84E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CA4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008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56E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8CE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7AD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3823D4"/>
    <w:multiLevelType w:val="hybridMultilevel"/>
    <w:tmpl w:val="554479D2"/>
    <w:lvl w:ilvl="0" w:tplc="EE586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049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2CE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E08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5C9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800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003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F48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406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877EFC"/>
    <w:multiLevelType w:val="hybridMultilevel"/>
    <w:tmpl w:val="D5189B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0389"/>
    <w:multiLevelType w:val="hybridMultilevel"/>
    <w:tmpl w:val="7FF20EB0"/>
    <w:lvl w:ilvl="0" w:tplc="0407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0CE3156F"/>
    <w:multiLevelType w:val="hybridMultilevel"/>
    <w:tmpl w:val="E0A828DE"/>
    <w:lvl w:ilvl="0" w:tplc="3E301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38BABC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28D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C81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2B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382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BC2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B6F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9E6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812AE"/>
    <w:multiLevelType w:val="hybridMultilevel"/>
    <w:tmpl w:val="E9564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00DBE">
      <w:start w:val="2"/>
      <w:numFmt w:val="bullet"/>
      <w:lvlText w:val="-"/>
      <w:lvlJc w:val="left"/>
      <w:pPr>
        <w:ind w:left="3600" w:hanging="360"/>
      </w:pPr>
      <w:rPr>
        <w:rFonts w:ascii="Cambria" w:eastAsiaTheme="minorHAnsi" w:hAnsi="Cambria" w:cstheme="minorBid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70E38"/>
    <w:multiLevelType w:val="hybridMultilevel"/>
    <w:tmpl w:val="7996E38E"/>
    <w:lvl w:ilvl="0" w:tplc="0407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8" w15:restartNumberingAfterBreak="0">
    <w:nsid w:val="22AC5A26"/>
    <w:multiLevelType w:val="hybridMultilevel"/>
    <w:tmpl w:val="9858F654"/>
    <w:lvl w:ilvl="0" w:tplc="EB4451E8">
      <w:start w:val="1"/>
      <w:numFmt w:val="bullet"/>
      <w:pStyle w:val="Liste1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7A4C4BB4">
      <w:start w:val="1"/>
      <w:numFmt w:val="bullet"/>
      <w:pStyle w:val="Liste3"/>
      <w:lvlText w:val=""/>
      <w:lvlJc w:val="left"/>
      <w:pPr>
        <w:ind w:left="1193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23CA452B"/>
    <w:multiLevelType w:val="hybridMultilevel"/>
    <w:tmpl w:val="6896A03E"/>
    <w:lvl w:ilvl="0" w:tplc="12521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768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0C2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B88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863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A08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FCF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048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506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8A62D63"/>
    <w:multiLevelType w:val="hybridMultilevel"/>
    <w:tmpl w:val="DF347DC0"/>
    <w:lvl w:ilvl="0" w:tplc="A5D0D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AD9E0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CD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7C5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286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7CF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08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0AD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6A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91B27CE"/>
    <w:multiLevelType w:val="hybridMultilevel"/>
    <w:tmpl w:val="92683C2C"/>
    <w:lvl w:ilvl="0" w:tplc="04070005">
      <w:start w:val="1"/>
      <w:numFmt w:val="bullet"/>
      <w:lvlText w:val=""/>
      <w:lvlJc w:val="left"/>
      <w:pPr>
        <w:ind w:left="155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2" w15:restartNumberingAfterBreak="0">
    <w:nsid w:val="2B397807"/>
    <w:multiLevelType w:val="hybridMultilevel"/>
    <w:tmpl w:val="4DC03620"/>
    <w:lvl w:ilvl="0" w:tplc="D49CFACC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C672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AD0B20"/>
    <w:multiLevelType w:val="hybridMultilevel"/>
    <w:tmpl w:val="ED56B5D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D1E4D"/>
    <w:multiLevelType w:val="hybridMultilevel"/>
    <w:tmpl w:val="4E3254CC"/>
    <w:lvl w:ilvl="0" w:tplc="65BEC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94B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8A4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50B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1C0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F8C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0AC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BE5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8E5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CDA482B"/>
    <w:multiLevelType w:val="hybridMultilevel"/>
    <w:tmpl w:val="DFD458E0"/>
    <w:lvl w:ilvl="0" w:tplc="15E08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CFAE2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9C8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2C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43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B0E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E8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EAA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C85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007861"/>
    <w:multiLevelType w:val="hybridMultilevel"/>
    <w:tmpl w:val="D2046BAC"/>
    <w:lvl w:ilvl="0" w:tplc="0407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44BA5A2B"/>
    <w:multiLevelType w:val="hybridMultilevel"/>
    <w:tmpl w:val="BD0CF130"/>
    <w:lvl w:ilvl="0" w:tplc="69CA07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4B4DEC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FC986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FE4E1A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5523DE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F2ED62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E94086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95492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E60FC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822C9B"/>
    <w:multiLevelType w:val="hybridMultilevel"/>
    <w:tmpl w:val="2B3AC868"/>
    <w:lvl w:ilvl="0" w:tplc="0407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20" w15:restartNumberingAfterBreak="0">
    <w:nsid w:val="48AB08AF"/>
    <w:multiLevelType w:val="hybridMultilevel"/>
    <w:tmpl w:val="8176039C"/>
    <w:lvl w:ilvl="0" w:tplc="71F40AC2">
      <w:start w:val="1"/>
      <w:numFmt w:val="bullet"/>
      <w:pStyle w:val="Liste2"/>
      <w:lvlText w:val="o"/>
      <w:lvlJc w:val="left"/>
      <w:pPr>
        <w:ind w:left="833" w:hanging="360"/>
      </w:pPr>
      <w:rPr>
        <w:rFonts w:ascii="Courier New" w:hAnsi="Courier New" w:cs="Courier New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553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02913"/>
    <w:multiLevelType w:val="hybridMultilevel"/>
    <w:tmpl w:val="087A8F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6B271E"/>
    <w:multiLevelType w:val="hybridMultilevel"/>
    <w:tmpl w:val="E99217CE"/>
    <w:lvl w:ilvl="0" w:tplc="7A765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BAA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E0C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F4D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987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144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4E1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60D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0E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9C24151"/>
    <w:multiLevelType w:val="hybridMultilevel"/>
    <w:tmpl w:val="03122FB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D224D5"/>
    <w:multiLevelType w:val="hybridMultilevel"/>
    <w:tmpl w:val="755A97A0"/>
    <w:lvl w:ilvl="0" w:tplc="76B0A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8A7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AC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B4F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60B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B20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C89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B21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FEB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8B251CA"/>
    <w:multiLevelType w:val="hybridMultilevel"/>
    <w:tmpl w:val="68A852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04D96"/>
    <w:multiLevelType w:val="hybridMultilevel"/>
    <w:tmpl w:val="66589BB4"/>
    <w:lvl w:ilvl="0" w:tplc="D00C0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DC02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C26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CC6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7AB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B4B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A05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D8C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563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4A24260"/>
    <w:multiLevelType w:val="hybridMultilevel"/>
    <w:tmpl w:val="43940EF6"/>
    <w:lvl w:ilvl="0" w:tplc="0407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21"/>
  </w:num>
  <w:num w:numId="5">
    <w:abstractNumId w:val="12"/>
  </w:num>
  <w:num w:numId="6">
    <w:abstractNumId w:val="8"/>
  </w:num>
  <w:num w:numId="7">
    <w:abstractNumId w:val="20"/>
  </w:num>
  <w:num w:numId="8">
    <w:abstractNumId w:val="26"/>
  </w:num>
  <w:num w:numId="9">
    <w:abstractNumId w:val="2"/>
  </w:num>
  <w:num w:numId="10">
    <w:abstractNumId w:val="13"/>
  </w:num>
  <w:num w:numId="11">
    <w:abstractNumId w:val="27"/>
  </w:num>
  <w:num w:numId="12">
    <w:abstractNumId w:val="9"/>
  </w:num>
  <w:num w:numId="13">
    <w:abstractNumId w:val="0"/>
  </w:num>
  <w:num w:numId="14">
    <w:abstractNumId w:val="14"/>
  </w:num>
  <w:num w:numId="15">
    <w:abstractNumId w:val="18"/>
  </w:num>
  <w:num w:numId="16">
    <w:abstractNumId w:val="4"/>
  </w:num>
  <w:num w:numId="17">
    <w:abstractNumId w:val="25"/>
  </w:num>
  <w:num w:numId="18">
    <w:abstractNumId w:val="23"/>
  </w:num>
  <w:num w:numId="19">
    <w:abstractNumId w:val="1"/>
  </w:num>
  <w:num w:numId="20">
    <w:abstractNumId w:val="15"/>
  </w:num>
  <w:num w:numId="21">
    <w:abstractNumId w:val="10"/>
  </w:num>
  <w:num w:numId="22">
    <w:abstractNumId w:val="28"/>
  </w:num>
  <w:num w:numId="23">
    <w:abstractNumId w:val="7"/>
  </w:num>
  <w:num w:numId="24">
    <w:abstractNumId w:val="17"/>
  </w:num>
  <w:num w:numId="25">
    <w:abstractNumId w:val="3"/>
  </w:num>
  <w:num w:numId="26">
    <w:abstractNumId w:val="22"/>
  </w:num>
  <w:num w:numId="27">
    <w:abstractNumId w:val="19"/>
  </w:num>
  <w:num w:numId="28">
    <w:abstractNumId w:val="11"/>
  </w:num>
  <w:num w:numId="29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customStyle="1" w:styleId="highlight">
    <w:name w:val="highlight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1">
    <w:name w:val="Ü1"/>
    <w:basedOn w:val="Standard"/>
    <w:link w:val="1Zchn"/>
    <w:qFormat/>
    <w:pPr>
      <w:spacing w:after="120" w:line="276" w:lineRule="auto"/>
    </w:pPr>
    <w:rPr>
      <w:b/>
      <w:sz w:val="28"/>
    </w:rPr>
  </w:style>
  <w:style w:type="paragraph" w:customStyle="1" w:styleId="2">
    <w:name w:val="Ü2"/>
    <w:basedOn w:val="Standard"/>
    <w:link w:val="2Zchn"/>
    <w:qFormat/>
    <w:pPr>
      <w:spacing w:before="120" w:after="120" w:line="276" w:lineRule="auto"/>
    </w:pPr>
    <w:rPr>
      <w:b/>
    </w:rPr>
  </w:style>
  <w:style w:type="character" w:customStyle="1" w:styleId="1Zchn">
    <w:name w:val="Ü1 Zchn"/>
    <w:basedOn w:val="Absatz-Standardschriftart"/>
    <w:link w:val="1"/>
    <w:rPr>
      <w:b/>
      <w:sz w:val="28"/>
    </w:rPr>
  </w:style>
  <w:style w:type="paragraph" w:customStyle="1" w:styleId="3">
    <w:name w:val="Ü3"/>
    <w:basedOn w:val="Listenabsatz"/>
    <w:link w:val="3Zchn"/>
    <w:qFormat/>
    <w:pPr>
      <w:numPr>
        <w:numId w:val="5"/>
      </w:numPr>
      <w:spacing w:before="120" w:after="0"/>
    </w:pPr>
    <w:rPr>
      <w:b/>
      <w:sz w:val="22"/>
      <w:szCs w:val="22"/>
    </w:rPr>
  </w:style>
  <w:style w:type="character" w:customStyle="1" w:styleId="2Zchn">
    <w:name w:val="Ü2 Zchn"/>
    <w:basedOn w:val="Absatz-Standardschriftart"/>
    <w:link w:val="2"/>
    <w:rPr>
      <w:b/>
    </w:rPr>
  </w:style>
  <w:style w:type="paragraph" w:customStyle="1" w:styleId="Liste1">
    <w:name w:val="Liste1"/>
    <w:basedOn w:val="Listenabsatz"/>
    <w:link w:val="Liste1Zchn"/>
    <w:qFormat/>
    <w:pPr>
      <w:numPr>
        <w:numId w:val="6"/>
      </w:numPr>
      <w:spacing w:after="0"/>
    </w:pPr>
    <w:rPr>
      <w:sz w:val="22"/>
      <w:szCs w:val="22"/>
    </w:rPr>
  </w:style>
  <w:style w:type="character" w:customStyle="1" w:styleId="3Zchn">
    <w:name w:val="Ü3 Zchn"/>
    <w:basedOn w:val="Absatz-Standardschriftart"/>
    <w:link w:val="3"/>
    <w:rPr>
      <w:b/>
      <w:sz w:val="22"/>
      <w:szCs w:val="22"/>
    </w:rPr>
  </w:style>
  <w:style w:type="paragraph" w:customStyle="1" w:styleId="Liste2">
    <w:name w:val="Liste2"/>
    <w:basedOn w:val="Listenabsatz"/>
    <w:link w:val="Liste2Zchn"/>
    <w:qFormat/>
    <w:pPr>
      <w:numPr>
        <w:numId w:val="7"/>
      </w:numPr>
      <w:spacing w:after="0"/>
    </w:pPr>
    <w:rPr>
      <w:sz w:val="22"/>
      <w:szCs w:val="22"/>
      <w:lang w:val="en-GB"/>
    </w:rPr>
  </w:style>
  <w:style w:type="character" w:customStyle="1" w:styleId="Liste1Zchn">
    <w:name w:val="Liste1 Zchn"/>
    <w:basedOn w:val="ListenabsatzZchn"/>
    <w:link w:val="Liste1"/>
    <w:rPr>
      <w:sz w:val="22"/>
      <w:szCs w:val="22"/>
    </w:rPr>
  </w:style>
  <w:style w:type="paragraph" w:customStyle="1" w:styleId="Liste3">
    <w:name w:val="Liste3"/>
    <w:basedOn w:val="Listenabsatz"/>
    <w:link w:val="Liste3Zchn"/>
    <w:qFormat/>
    <w:pPr>
      <w:numPr>
        <w:ilvl w:val="1"/>
        <w:numId w:val="6"/>
      </w:numPr>
      <w:spacing w:after="0"/>
    </w:pPr>
    <w:rPr>
      <w:sz w:val="22"/>
      <w:szCs w:val="22"/>
    </w:rPr>
  </w:style>
  <w:style w:type="character" w:customStyle="1" w:styleId="Liste2Zchn">
    <w:name w:val="Liste2 Zchn"/>
    <w:basedOn w:val="ListenabsatzZchn"/>
    <w:link w:val="Liste2"/>
    <w:rPr>
      <w:sz w:val="22"/>
      <w:szCs w:val="22"/>
      <w:lang w:val="en-GB"/>
    </w:rPr>
  </w:style>
  <w:style w:type="paragraph" w:customStyle="1" w:styleId="TagFr">
    <w:name w:val="Tag_Fr"/>
    <w:basedOn w:val="Standard"/>
    <w:link w:val="TagFrZchn"/>
    <w:qFormat/>
    <w:pPr>
      <w:spacing w:after="120" w:line="276" w:lineRule="auto"/>
    </w:pPr>
    <w:rPr>
      <w:b/>
      <w:i/>
      <w:color w:val="8DB3E2" w:themeColor="text2" w:themeTint="66"/>
      <w:sz w:val="22"/>
      <w:szCs w:val="22"/>
    </w:rPr>
  </w:style>
  <w:style w:type="character" w:customStyle="1" w:styleId="Liste3Zchn">
    <w:name w:val="Liste3 Zchn"/>
    <w:basedOn w:val="ListenabsatzZchn"/>
    <w:link w:val="Liste3"/>
    <w:rPr>
      <w:sz w:val="22"/>
      <w:szCs w:val="22"/>
    </w:rPr>
  </w:style>
  <w:style w:type="paragraph" w:customStyle="1" w:styleId="TagMi">
    <w:name w:val="Tag_Mi"/>
    <w:basedOn w:val="Standard"/>
    <w:link w:val="TagMiZchn"/>
    <w:qFormat/>
    <w:pPr>
      <w:spacing w:after="0"/>
      <w:ind w:left="113"/>
    </w:pPr>
    <w:rPr>
      <w:b/>
      <w:i/>
      <w:color w:val="D99594" w:themeColor="accent2" w:themeTint="99"/>
    </w:rPr>
  </w:style>
  <w:style w:type="character" w:customStyle="1" w:styleId="TagFrZchn">
    <w:name w:val="Tag_Fr Zchn"/>
    <w:basedOn w:val="Absatz-Standardschriftart"/>
    <w:link w:val="TagFr"/>
    <w:rPr>
      <w:b/>
      <w:i/>
      <w:color w:val="8DB3E2" w:themeColor="text2" w:themeTint="66"/>
      <w:sz w:val="22"/>
      <w:szCs w:val="22"/>
    </w:rPr>
  </w:style>
  <w:style w:type="paragraph" w:customStyle="1" w:styleId="TagMo">
    <w:name w:val="Tag_Mo"/>
    <w:basedOn w:val="Standard"/>
    <w:link w:val="TagMoZchn"/>
    <w:qFormat/>
    <w:pPr>
      <w:spacing w:after="0" w:line="276" w:lineRule="auto"/>
    </w:pPr>
    <w:rPr>
      <w:b/>
      <w:i/>
      <w:color w:val="C2D69B" w:themeColor="accent3" w:themeTint="99"/>
    </w:rPr>
  </w:style>
  <w:style w:type="character" w:customStyle="1" w:styleId="TagMiZchn">
    <w:name w:val="Tag_Mi Zchn"/>
    <w:basedOn w:val="ListenabsatzZchn"/>
    <w:link w:val="TagMi"/>
    <w:rPr>
      <w:b/>
      <w:i/>
      <w:color w:val="D99594" w:themeColor="accent2" w:themeTint="99"/>
    </w:rPr>
  </w:style>
  <w:style w:type="paragraph" w:customStyle="1" w:styleId="ToDo">
    <w:name w:val="ToDo"/>
    <w:basedOn w:val="Standard"/>
    <w:link w:val="ToDoZchn"/>
    <w:qFormat/>
    <w:pPr>
      <w:spacing w:before="120" w:after="120"/>
    </w:pPr>
    <w:rPr>
      <w:i/>
      <w:sz w:val="22"/>
      <w:szCs w:val="22"/>
    </w:rPr>
  </w:style>
  <w:style w:type="character" w:customStyle="1" w:styleId="TagMoZchn">
    <w:name w:val="Tag_Mo Zchn"/>
    <w:basedOn w:val="Absatz-Standardschriftart"/>
    <w:link w:val="TagMo"/>
    <w:rPr>
      <w:b/>
      <w:i/>
      <w:color w:val="C2D69B" w:themeColor="accent3" w:themeTint="99"/>
    </w:rPr>
  </w:style>
  <w:style w:type="character" w:customStyle="1" w:styleId="ToDoZchn">
    <w:name w:val="ToDo Zchn"/>
    <w:basedOn w:val="Absatz-Standardschriftart"/>
    <w:link w:val="ToDo"/>
    <w:rPr>
      <w:i/>
      <w:sz w:val="22"/>
      <w:szCs w:val="22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7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45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50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6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26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6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92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5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50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07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2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3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8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1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4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9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5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63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11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2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S:\Wissdaten\RKI_nCoV-Lage\1.Lagemanagement\1.3.Besprechungen_TKs\1.Lage_AG\2022-09-01-Lage-AG\2022-09-01_Intensivregister_SPoCK.ppt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S:\Wissdaten\RKI_nCoV-Lage\1.Lagemanagement\1.3.Besprechungen_TKs\1.Lage_AG\2022-09-01-Lage-AG\LageNational_2022-08-31.pptx" TargetMode="External"/><Relationship Id="rId17" Type="http://schemas.openxmlformats.org/officeDocument/2006/relationships/hyperlink" Target="file:///S:\Wissdaten\RKI_nCoV-Lage\1.Lagemanagement\1.3.Besprechungen_TKs\1.Lage_AG\2022-09-01-Lage-AG\Intensivregister_Vorschlag_Erfassungsk&#252;rzung_v2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S:\Wissdaten\RKI_nCoV-Lage\1.Lagemanagement\1.3.Besprechungen_TKs\1.Lage_AG\2022-09-01-Lage-AG\FAQ_COVID-19_Todesf&#228;lle_Entwurf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S:\Wissdaten\RKI_nCoV-Lage\1.Lagemanagement\1.3.Besprechungen_TKs\1.Lage_AG\2022-09-01-Lage-AG\COVID-19_internat.%20Lage_2022-09-01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S:\Wissdaten\RKI_nCoV-Lage\1.Lagemanagement\1.3.Besprechungen_TKs\1.Lage_AG\2022-09-01-Lage-AG\syndrom-ARE-SARI-COVID_bis_KW34_2022_f&#252;r-Krisenstab.pptx" TargetMode="External"/><Relationship Id="rId10" Type="http://schemas.openxmlformats.org/officeDocument/2006/relationships/footer" Target="foot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S:\Wissdaten\RKI_nCoV-Lage\1.Lagemanagement\1.3.Besprechungen_TKs\1.Lage_AG\2022-09-01-Lage-AG\2022-08_31_LageAG-VOC.ppt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DA25C-980F-44BB-A58E-117337F8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2191</Words>
  <Characters>13806</Characters>
  <Application>Microsoft Office Word</Application>
  <DocSecurity>0</DocSecurity>
  <Lines>115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Wittke, Christian</cp:lastModifiedBy>
  <cp:revision>388</cp:revision>
  <cp:lastPrinted>2020-05-06T16:43:00Z</cp:lastPrinted>
  <dcterms:created xsi:type="dcterms:W3CDTF">2022-03-03T09:26:00Z</dcterms:created>
  <dcterms:modified xsi:type="dcterms:W3CDTF">2022-09-01T14:55:00Z</dcterms:modified>
</cp:coreProperties>
</file>