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die Statistik des RKI gehen die COVID-19-Todesfälle ein, bei denen ein laborbestätigter Nachweis von SARS-CoV-2 (direkter Erregernachweis) vorliegt und die in Bezug auf diese Infektion verstorben sind. Das Risiko an COVID-19 zu versterben ist bei Personen, bei denen bestimmte Vorerkrankungen bestehen, höher. Daher ist es in der Praxis häufig schwierig zu entscheiden, inwieweit die SARS-CoV-2-Infektion direkt zum Tode beigetragen hat. Sowohl Menschen, die unmittelbar an der Erkrankung verstorben sind ("gestorben an"), als auch Personen mit Vorerkrankungen, die mit SARS-CoV-2 infiziert waren und bei denen sich nicht abschließend nachweisen lässt, was die Todesursache war ("gestorben mit") werden derzeit erfasst. Generell liegt es immer im Ermessen des Gesundheitsamtes, ob ein Fall als verstorben an bzw. mit COVID-19 ans RKI übermittelt wird oder nicht. Bei einem Großteil der an das RKI übermittelten COVID-19-Todesfälle wird "verstorben an der gemeldeten Krankheit" angegeben. </w:t>
      </w:r>
      <w:r>
        <w:rPr>
          <w:rFonts w:ascii="Times New Roman" w:eastAsia="Times New Roman" w:hAnsi="Times New Roman" w:cs="Times New Roman"/>
          <w:sz w:val="24"/>
          <w:szCs w:val="24"/>
          <w:highlight w:val="yellow"/>
          <w:lang w:eastAsia="de-DE"/>
        </w:rPr>
        <w:t>In den Jahren 2020 und 2021 wurden bei 95% der COVID-19 Todesfälle eine Angabe zur Todesursache an das RKI übermittelt und von diesen verstarben etwa 90% an COVID, etwa 10% verstarben mit COVID-19. Seit die Omikron-Variante in Deutschland dominiert (seit KW 02/2022) wurden in 94</w:t>
      </w:r>
      <w:bookmarkStart w:id="0" w:name="_GoBack"/>
      <w:bookmarkEnd w:id="0"/>
      <w:r>
        <w:rPr>
          <w:rFonts w:ascii="Times New Roman" w:eastAsia="Times New Roman" w:hAnsi="Times New Roman" w:cs="Times New Roman"/>
          <w:sz w:val="24"/>
          <w:szCs w:val="24"/>
          <w:highlight w:val="yellow"/>
          <w:lang w:eastAsia="de-DE"/>
        </w:rPr>
        <w:t>% der COVID-19 Todesfälle eine Angabe zur Todesursache übermittelt und etwa 80% dieser Todesfälle verstarben an COVID-19, etwa 20% verstarben mit COVID-19.</w:t>
      </w:r>
      <w:r>
        <w:rPr>
          <w:rFonts w:ascii="Times New Roman" w:eastAsia="Times New Roman" w:hAnsi="Times New Roman" w:cs="Times New Roman"/>
          <w:sz w:val="24"/>
          <w:szCs w:val="24"/>
          <w:lang w:eastAsia="de-DE"/>
        </w:rPr>
        <w:t xml:space="preserve"> Dies wird auch durch Obduktionen bestätigt: Daten aus dem deutschen Autopsie-Register beispielsweise zeigen, dass 86% der Fälle, bei denen vor oder nach Eintritt des Todes eine SARS-CoV-2-Infektion festgestellt wurde, aufgrund der COVID-19-Erkrankung verstorben sind (</w:t>
      </w:r>
      <w:hyperlink r:id="rId4" w:tgtFrame="_blank" w:tooltip="Externer Link First report from the German COVID-19 autopsy registry, The Lancet Regional Health - Europe (18.2.2022) (Öffnet neues Fenster)" w:history="1">
        <w:r>
          <w:rPr>
            <w:rFonts w:ascii="Times New Roman" w:eastAsia="Times New Roman" w:hAnsi="Times New Roman" w:cs="Times New Roman"/>
            <w:color w:val="0000FF"/>
            <w:sz w:val="24"/>
            <w:szCs w:val="24"/>
            <w:u w:val="single"/>
            <w:lang w:eastAsia="de-DE"/>
          </w:rPr>
          <w:t xml:space="preserve">von </w:t>
        </w:r>
        <w:proofErr w:type="spellStart"/>
        <w:r>
          <w:rPr>
            <w:rFonts w:ascii="Times New Roman" w:eastAsia="Times New Roman" w:hAnsi="Times New Roman" w:cs="Times New Roman"/>
            <w:color w:val="0000FF"/>
            <w:sz w:val="24"/>
            <w:szCs w:val="24"/>
            <w:u w:val="single"/>
            <w:lang w:eastAsia="de-DE"/>
          </w:rPr>
          <w:t>Stillfried</w:t>
        </w:r>
        <w:proofErr w:type="spellEnd"/>
        <w:r>
          <w:rPr>
            <w:rFonts w:ascii="Times New Roman" w:eastAsia="Times New Roman" w:hAnsi="Times New Roman" w:cs="Times New Roman"/>
            <w:color w:val="0000FF"/>
            <w:sz w:val="24"/>
            <w:szCs w:val="24"/>
            <w:u w:val="single"/>
            <w:lang w:eastAsia="de-DE"/>
          </w:rPr>
          <w:t>, Lancet Regional Health 2022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wird in fast allen Bundesländern der vertrauliche Teil der Todesbescheinigung an das Gesundheitsamt gesendet. Dort kann ein Abgleich mit den Meldedaten erfolgen, wenn auf der Todesbescheinigung als Todesursache eine Infektionskrankheit angegeben ist (siehe auch "</w:t>
      </w:r>
      <w:hyperlink r:id="rId5" w:anchor="FAQId14087200" w:tooltip="Infektionsschutzmaßnahmen (Stand: 29.8.2022)" w:history="1">
        <w:r>
          <w:rPr>
            <w:rFonts w:ascii="Times New Roman" w:eastAsia="Times New Roman" w:hAnsi="Times New Roman" w:cs="Times New Roman"/>
            <w:color w:val="0000FF"/>
            <w:sz w:val="24"/>
            <w:szCs w:val="24"/>
            <w:u w:val="single"/>
            <w:lang w:eastAsia="de-DE"/>
          </w:rPr>
          <w:t>Was ist beim Umgang mit an COVID-19-Verstorbenen zu beachten?</w:t>
        </w:r>
      </w:hyperlink>
      <w:r>
        <w:rPr>
          <w:rFonts w:ascii="Times New Roman" w:eastAsia="Times New Roman" w:hAnsi="Times New Roman" w:cs="Times New Roman"/>
          <w:sz w:val="24"/>
          <w:szCs w:val="24"/>
          <w:lang w:eastAsia="de-DE"/>
        </w:rPr>
        <w:t>").</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27548-AE5D-46F3-B526-F19C74BC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9968">
      <w:bodyDiv w:val="1"/>
      <w:marLeft w:val="0"/>
      <w:marRight w:val="0"/>
      <w:marTop w:val="0"/>
      <w:marBottom w:val="0"/>
      <w:divBdr>
        <w:top w:val="none" w:sz="0" w:space="0" w:color="auto"/>
        <w:left w:val="none" w:sz="0" w:space="0" w:color="auto"/>
        <w:bottom w:val="none" w:sz="0" w:space="0" w:color="auto"/>
        <w:right w:val="none" w:sz="0" w:space="0" w:color="auto"/>
      </w:divBdr>
    </w:div>
    <w:div w:id="165383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ki.de/SharedDocs/FAQ/NCOV2019/FAQ_Liste_Infektionsschutz.html;jsessionid=FDFA26D8F9641F0A842B61CFF0BFDBE5.internet061?nn=2386228" TargetMode="External"/><Relationship Id="rId4" Type="http://schemas.openxmlformats.org/officeDocument/2006/relationships/hyperlink" Target="https://www.thelancet.com/journals/lanepe/article/PIIS2666-7762(22)00023-0/fulltex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2218</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Matthias</dc:creator>
  <cp:keywords/>
  <dc:description/>
  <cp:lastModifiedBy>an der Heiden, Matthias</cp:lastModifiedBy>
  <cp:revision>2</cp:revision>
  <dcterms:created xsi:type="dcterms:W3CDTF">2022-08-29T10:14:00Z</dcterms:created>
  <dcterms:modified xsi:type="dcterms:W3CDTF">2022-09-01T06:52:00Z</dcterms:modified>
</cp:coreProperties>
</file>