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Scala OT" w:eastAsia="Times New Roman" w:hAnsi="Scala OT" w:cs="Calibri"/>
          <w:b/>
          <w:bCs/>
          <w:color w:val="000000"/>
          <w:sz w:val="32"/>
          <w:szCs w:val="28"/>
          <w:lang w:eastAsia="de-DE"/>
        </w:rPr>
      </w:pPr>
      <w:r>
        <w:rPr>
          <w:rFonts w:ascii="Scala OT" w:eastAsia="Times New Roman" w:hAnsi="Scala OT" w:cs="Calibri"/>
          <w:b/>
          <w:bCs/>
          <w:color w:val="000000"/>
          <w:sz w:val="32"/>
          <w:szCs w:val="28"/>
          <w:lang w:eastAsia="de-DE"/>
        </w:rPr>
        <w:t>Vorschlag zu pausierender Erfassungsvariablen für das DIVI - Intensivregister</w:t>
      </w:r>
    </w:p>
    <w:p>
      <w:pPr>
        <w:spacing w:after="0" w:line="240" w:lineRule="auto"/>
        <w:rPr>
          <w:rFonts w:ascii="Scala OT" w:eastAsia="Times New Roman" w:hAnsi="Scala OT" w:cs="Calibri"/>
          <w:color w:val="000000"/>
          <w:szCs w:val="20"/>
          <w:lang w:eastAsia="de-DE"/>
        </w:rPr>
      </w:pPr>
      <w:r>
        <w:rPr>
          <w:rFonts w:ascii="Scala OT" w:eastAsia="Times New Roman" w:hAnsi="Scala OT" w:cs="Calibri"/>
          <w:color w:val="000000"/>
          <w:szCs w:val="20"/>
          <w:lang w:eastAsia="de-DE"/>
        </w:rPr>
        <w:t>(Stand August 2022)</w:t>
      </w:r>
    </w:p>
    <w:p>
      <w:pPr>
        <w:spacing w:after="0" w:line="240" w:lineRule="auto"/>
        <w:rPr>
          <w:rFonts w:ascii="Scala OT" w:eastAsia="Times New Roman" w:hAnsi="Scala OT" w:cs="Calibri"/>
          <w:color w:val="000000"/>
          <w:szCs w:val="20"/>
          <w:lang w:eastAsia="de-DE"/>
        </w:rPr>
      </w:pPr>
    </w:p>
    <w:p>
      <w:pPr>
        <w:rPr>
          <w:rFonts w:ascii="Scala OT" w:eastAsia="Times New Roman" w:hAnsi="Scala OT" w:cs="Calibri"/>
          <w:bCs/>
          <w:sz w:val="24"/>
          <w:szCs w:val="24"/>
          <w:lang w:eastAsia="de-DE"/>
        </w:rPr>
      </w:pPr>
      <w:r>
        <w:rPr>
          <w:rFonts w:ascii="Scala OT" w:eastAsia="Times New Roman" w:hAnsi="Scala OT" w:cs="Calibri"/>
          <w:bCs/>
          <w:sz w:val="28"/>
          <w:szCs w:val="24"/>
          <w:lang w:eastAsia="de-DE"/>
        </w:rPr>
        <w:br/>
      </w:r>
      <w:r>
        <w:rPr>
          <w:rFonts w:ascii="Scala OT" w:eastAsia="Times New Roman" w:hAnsi="Scala OT" w:cs="Calibri"/>
          <w:b/>
          <w:bCs/>
          <w:sz w:val="24"/>
          <w:szCs w:val="24"/>
          <w:u w:val="single"/>
          <w:lang w:eastAsia="de-DE"/>
        </w:rPr>
        <w:t>Ziel:</w:t>
      </w:r>
      <w:r>
        <w:rPr>
          <w:rFonts w:ascii="Scala OT" w:eastAsia="Times New Roman" w:hAnsi="Scala OT" w:cs="Calibri"/>
          <w:bCs/>
          <w:sz w:val="24"/>
          <w:szCs w:val="24"/>
          <w:lang w:eastAsia="de-DE"/>
        </w:rPr>
        <w:t xml:space="preserve"> Verschlankung der Abfragen im Intensivregister zur Entlastung der Meldenden und Fokussierung auf relevante Erfassungsparameter entsprechend der Pandemie-Lage (in Abstimmung mit der DIVI-Fachgesellschaft).</w:t>
      </w:r>
      <w:r>
        <w:rPr>
          <w:rFonts w:ascii="Scala OT" w:eastAsia="Times New Roman" w:hAnsi="Scala OT" w:cs="Calibri"/>
          <w:bCs/>
          <w:sz w:val="24"/>
          <w:szCs w:val="24"/>
          <w:lang w:eastAsia="de-DE"/>
        </w:rPr>
        <w:br/>
      </w:r>
      <w:r>
        <w:rPr>
          <w:rFonts w:ascii="Scala OT" w:eastAsia="Times New Roman" w:hAnsi="Scala OT" w:cs="Calibri"/>
          <w:bCs/>
          <w:sz w:val="24"/>
          <w:szCs w:val="24"/>
          <w:lang w:eastAsia="de-DE"/>
        </w:rPr>
        <w:br/>
        <w:t>Die unten vorgeschlagenen Kandidaten zeigen in den Daten keine aktuelle Relevanz zur Ressourcensteuerung oder Engpass-Identifikation zur Aufrechterhaltung und Sicherung intensivmedizinischer Krankenhauskapazitäten (= Zweck der DIVI-Reg VO)</w:t>
      </w:r>
    </w:p>
    <w:p>
      <w:pPr>
        <w:rPr>
          <w:rFonts w:ascii="Scala OT" w:eastAsia="Times New Roman" w:hAnsi="Scala OT" w:cs="Calibri"/>
          <w:b/>
          <w:bCs/>
          <w:color w:val="0070C0"/>
          <w:sz w:val="24"/>
          <w:szCs w:val="24"/>
          <w:u w:val="single"/>
          <w:lang w:eastAsia="de-DE"/>
        </w:rPr>
      </w:pPr>
    </w:p>
    <w:sdt>
      <w:sdtPr>
        <w:rPr>
          <w:rFonts w:asciiTheme="minorHAnsi" w:eastAsiaTheme="minorHAnsi" w:hAnsiTheme="minorHAnsi" w:cstheme="minorBidi"/>
          <w:color w:val="auto"/>
          <w:sz w:val="22"/>
          <w:szCs w:val="22"/>
          <w:lang w:eastAsia="en-US"/>
        </w:rPr>
        <w:id w:val="1294023435"/>
        <w:docPartObj>
          <w:docPartGallery w:val="Table of Contents"/>
          <w:docPartUnique/>
        </w:docPartObj>
      </w:sdtPr>
      <w:sdtEndPr>
        <w:rPr>
          <w:b/>
          <w:bCs/>
        </w:rPr>
      </w:sdtEndPr>
      <w:sdtContent>
        <w:p>
          <w:pPr>
            <w:pStyle w:val="Inhaltsverzeichnisberschrift"/>
          </w:pPr>
          <w:r>
            <w:rPr>
              <w:color w:val="auto"/>
              <w:u w:val="single"/>
            </w:rPr>
            <w:t>Vorschlagskandidaten zum Pausieren in der Erfassung:</w:t>
          </w:r>
          <w:r>
            <w:br/>
          </w:r>
        </w:p>
        <w:p>
          <w:pPr>
            <w:pStyle w:val="Verzeichnis1"/>
            <w:tabs>
              <w:tab w:val="right" w:leader="dot" w:pos="14277"/>
            </w:tabs>
            <w:rPr>
              <w:noProof/>
              <w:color w:val="1F4E79" w:themeColor="accent5" w:themeShade="80"/>
              <w:sz w:val="28"/>
            </w:rPr>
          </w:pPr>
          <w:r>
            <w:fldChar w:fldCharType="begin"/>
          </w:r>
          <w:r>
            <w:instrText xml:space="preserve"> TOC \o "1-3" \h \z \u </w:instrText>
          </w:r>
          <w:r>
            <w:fldChar w:fldCharType="separate"/>
          </w:r>
          <w:hyperlink w:anchor="_Toc112432765" w:history="1">
            <w:r>
              <w:rPr>
                <w:rStyle w:val="Hyperlink"/>
                <w:rFonts w:eastAsia="Times New Roman"/>
                <w:noProof/>
                <w:color w:val="1F4E79" w:themeColor="accent5" w:themeShade="80"/>
                <w:sz w:val="28"/>
                <w:lang w:val="en-US" w:eastAsia="de-DE"/>
              </w:rPr>
              <w:t>ICU-RESERVE</w:t>
            </w:r>
            <w:r>
              <w:rPr>
                <w:noProof/>
                <w:webHidden/>
                <w:color w:val="1F4E79" w:themeColor="accent5" w:themeShade="80"/>
                <w:sz w:val="28"/>
              </w:rPr>
              <w:tab/>
            </w:r>
            <w:r>
              <w:rPr>
                <w:noProof/>
                <w:webHidden/>
                <w:color w:val="1F4E79" w:themeColor="accent5" w:themeShade="80"/>
                <w:sz w:val="28"/>
              </w:rPr>
              <w:fldChar w:fldCharType="begin"/>
            </w:r>
            <w:r>
              <w:rPr>
                <w:noProof/>
                <w:webHidden/>
                <w:color w:val="1F4E79" w:themeColor="accent5" w:themeShade="80"/>
                <w:sz w:val="28"/>
              </w:rPr>
              <w:instrText xml:space="preserve"> PAGEREF _Toc112432765 \h </w:instrText>
            </w:r>
            <w:r>
              <w:rPr>
                <w:noProof/>
                <w:webHidden/>
                <w:color w:val="1F4E79" w:themeColor="accent5" w:themeShade="80"/>
                <w:sz w:val="28"/>
              </w:rPr>
            </w:r>
            <w:r>
              <w:rPr>
                <w:noProof/>
                <w:webHidden/>
                <w:color w:val="1F4E79" w:themeColor="accent5" w:themeShade="80"/>
                <w:sz w:val="28"/>
              </w:rPr>
              <w:fldChar w:fldCharType="separate"/>
            </w:r>
            <w:r>
              <w:rPr>
                <w:noProof/>
                <w:webHidden/>
                <w:color w:val="1F4E79" w:themeColor="accent5" w:themeShade="80"/>
                <w:sz w:val="28"/>
              </w:rPr>
              <w:t>2</w:t>
            </w:r>
            <w:r>
              <w:rPr>
                <w:noProof/>
                <w:webHidden/>
                <w:color w:val="1F4E79" w:themeColor="accent5" w:themeShade="80"/>
                <w:sz w:val="28"/>
              </w:rPr>
              <w:fldChar w:fldCharType="end"/>
            </w:r>
          </w:hyperlink>
        </w:p>
        <w:p>
          <w:pPr>
            <w:pStyle w:val="Verzeichnis1"/>
            <w:tabs>
              <w:tab w:val="right" w:leader="dot" w:pos="14277"/>
            </w:tabs>
            <w:rPr>
              <w:noProof/>
              <w:color w:val="1F4E79" w:themeColor="accent5" w:themeShade="80"/>
              <w:sz w:val="28"/>
            </w:rPr>
          </w:pPr>
          <w:hyperlink w:anchor="_Toc112432766" w:history="1">
            <w:r>
              <w:rPr>
                <w:rStyle w:val="Hyperlink"/>
                <w:rFonts w:eastAsia="Times New Roman"/>
                <w:noProof/>
                <w:color w:val="1F4E79" w:themeColor="accent5" w:themeShade="80"/>
                <w:sz w:val="28"/>
                <w:lang w:eastAsia="de-DE"/>
              </w:rPr>
              <w:t>Schwangere und frisch Entbundene mit COVID-19</w:t>
            </w:r>
            <w:r>
              <w:rPr>
                <w:noProof/>
                <w:webHidden/>
                <w:color w:val="1F4E79" w:themeColor="accent5" w:themeShade="80"/>
                <w:sz w:val="28"/>
              </w:rPr>
              <w:tab/>
            </w:r>
            <w:r>
              <w:rPr>
                <w:noProof/>
                <w:webHidden/>
                <w:color w:val="1F4E79" w:themeColor="accent5" w:themeShade="80"/>
                <w:sz w:val="28"/>
              </w:rPr>
              <w:fldChar w:fldCharType="begin"/>
            </w:r>
            <w:r>
              <w:rPr>
                <w:noProof/>
                <w:webHidden/>
                <w:color w:val="1F4E79" w:themeColor="accent5" w:themeShade="80"/>
                <w:sz w:val="28"/>
              </w:rPr>
              <w:instrText xml:space="preserve"> PAGEREF _Toc112432766 \h </w:instrText>
            </w:r>
            <w:r>
              <w:rPr>
                <w:noProof/>
                <w:webHidden/>
                <w:color w:val="1F4E79" w:themeColor="accent5" w:themeShade="80"/>
                <w:sz w:val="28"/>
              </w:rPr>
            </w:r>
            <w:r>
              <w:rPr>
                <w:noProof/>
                <w:webHidden/>
                <w:color w:val="1F4E79" w:themeColor="accent5" w:themeShade="80"/>
                <w:sz w:val="28"/>
              </w:rPr>
              <w:fldChar w:fldCharType="separate"/>
            </w:r>
            <w:r>
              <w:rPr>
                <w:noProof/>
                <w:webHidden/>
                <w:color w:val="1F4E79" w:themeColor="accent5" w:themeShade="80"/>
                <w:sz w:val="28"/>
              </w:rPr>
              <w:t>3</w:t>
            </w:r>
            <w:r>
              <w:rPr>
                <w:noProof/>
                <w:webHidden/>
                <w:color w:val="1F4E79" w:themeColor="accent5" w:themeShade="80"/>
                <w:sz w:val="28"/>
              </w:rPr>
              <w:fldChar w:fldCharType="end"/>
            </w:r>
          </w:hyperlink>
        </w:p>
        <w:p>
          <w:pPr>
            <w:pStyle w:val="Verzeichnis1"/>
            <w:tabs>
              <w:tab w:val="right" w:leader="dot" w:pos="14277"/>
            </w:tabs>
            <w:rPr>
              <w:noProof/>
              <w:color w:val="1F4E79" w:themeColor="accent5" w:themeShade="80"/>
              <w:sz w:val="28"/>
            </w:rPr>
          </w:pPr>
          <w:hyperlink w:anchor="_Toc112432767" w:history="1">
            <w:r>
              <w:rPr>
                <w:rStyle w:val="Hyperlink"/>
                <w:rFonts w:eastAsia="Times New Roman"/>
                <w:noProof/>
                <w:color w:val="1F4E79" w:themeColor="accent5" w:themeShade="80"/>
                <w:sz w:val="28"/>
                <w:lang w:eastAsia="de-DE"/>
              </w:rPr>
              <w:t>Aktuelle COVID-19-Patient*innen nach Virusvarianten</w:t>
            </w:r>
            <w:r>
              <w:rPr>
                <w:noProof/>
                <w:webHidden/>
                <w:color w:val="1F4E79" w:themeColor="accent5" w:themeShade="80"/>
                <w:sz w:val="28"/>
              </w:rPr>
              <w:tab/>
            </w:r>
            <w:r>
              <w:rPr>
                <w:noProof/>
                <w:webHidden/>
                <w:color w:val="1F4E79" w:themeColor="accent5" w:themeShade="80"/>
                <w:sz w:val="28"/>
              </w:rPr>
              <w:fldChar w:fldCharType="begin"/>
            </w:r>
            <w:r>
              <w:rPr>
                <w:noProof/>
                <w:webHidden/>
                <w:color w:val="1F4E79" w:themeColor="accent5" w:themeShade="80"/>
                <w:sz w:val="28"/>
              </w:rPr>
              <w:instrText xml:space="preserve"> PAGEREF _Toc112432767 \h </w:instrText>
            </w:r>
            <w:r>
              <w:rPr>
                <w:noProof/>
                <w:webHidden/>
                <w:color w:val="1F4E79" w:themeColor="accent5" w:themeShade="80"/>
                <w:sz w:val="28"/>
              </w:rPr>
            </w:r>
            <w:r>
              <w:rPr>
                <w:noProof/>
                <w:webHidden/>
                <w:color w:val="1F4E79" w:themeColor="accent5" w:themeShade="80"/>
                <w:sz w:val="28"/>
              </w:rPr>
              <w:fldChar w:fldCharType="separate"/>
            </w:r>
            <w:r>
              <w:rPr>
                <w:noProof/>
                <w:webHidden/>
                <w:color w:val="1F4E79" w:themeColor="accent5" w:themeShade="80"/>
                <w:sz w:val="28"/>
              </w:rPr>
              <w:t>4</w:t>
            </w:r>
            <w:r>
              <w:rPr>
                <w:noProof/>
                <w:webHidden/>
                <w:color w:val="1F4E79" w:themeColor="accent5" w:themeShade="80"/>
                <w:sz w:val="28"/>
              </w:rPr>
              <w:fldChar w:fldCharType="end"/>
            </w:r>
          </w:hyperlink>
        </w:p>
        <w:p>
          <w:pPr>
            <w:pStyle w:val="Verzeichnis1"/>
            <w:tabs>
              <w:tab w:val="right" w:leader="dot" w:pos="14277"/>
            </w:tabs>
            <w:rPr>
              <w:noProof/>
              <w:color w:val="1F4E79" w:themeColor="accent5" w:themeShade="80"/>
              <w:sz w:val="28"/>
            </w:rPr>
          </w:pPr>
          <w:hyperlink w:anchor="_Toc112432768" w:history="1">
            <w:r>
              <w:rPr>
                <w:rStyle w:val="Hyperlink"/>
                <w:rFonts w:eastAsia="Times New Roman"/>
                <w:noProof/>
                <w:color w:val="1F4E79" w:themeColor="accent5" w:themeShade="80"/>
                <w:sz w:val="28"/>
                <w:lang w:eastAsia="de-DE"/>
              </w:rPr>
              <w:t>SARS-CoV2-Impfstatus der COVID-19 ITS-Erstaufnahmen</w:t>
            </w:r>
            <w:r>
              <w:rPr>
                <w:noProof/>
                <w:webHidden/>
                <w:color w:val="1F4E79" w:themeColor="accent5" w:themeShade="80"/>
                <w:sz w:val="28"/>
              </w:rPr>
              <w:tab/>
            </w:r>
            <w:r>
              <w:rPr>
                <w:noProof/>
                <w:webHidden/>
                <w:color w:val="1F4E79" w:themeColor="accent5" w:themeShade="80"/>
                <w:sz w:val="28"/>
              </w:rPr>
              <w:fldChar w:fldCharType="begin"/>
            </w:r>
            <w:r>
              <w:rPr>
                <w:noProof/>
                <w:webHidden/>
                <w:color w:val="1F4E79" w:themeColor="accent5" w:themeShade="80"/>
                <w:sz w:val="28"/>
              </w:rPr>
              <w:instrText xml:space="preserve"> PAGEREF _Toc112432768 \h </w:instrText>
            </w:r>
            <w:r>
              <w:rPr>
                <w:noProof/>
                <w:webHidden/>
                <w:color w:val="1F4E79" w:themeColor="accent5" w:themeShade="80"/>
                <w:sz w:val="28"/>
              </w:rPr>
            </w:r>
            <w:r>
              <w:rPr>
                <w:noProof/>
                <w:webHidden/>
                <w:color w:val="1F4E79" w:themeColor="accent5" w:themeShade="80"/>
                <w:sz w:val="28"/>
              </w:rPr>
              <w:fldChar w:fldCharType="separate"/>
            </w:r>
            <w:r>
              <w:rPr>
                <w:noProof/>
                <w:webHidden/>
                <w:color w:val="1F4E79" w:themeColor="accent5" w:themeShade="80"/>
                <w:sz w:val="28"/>
              </w:rPr>
              <w:t>5</w:t>
            </w:r>
            <w:r>
              <w:rPr>
                <w:noProof/>
                <w:webHidden/>
                <w:color w:val="1F4E79" w:themeColor="accent5" w:themeShade="80"/>
                <w:sz w:val="28"/>
              </w:rPr>
              <w:fldChar w:fldCharType="end"/>
            </w:r>
          </w:hyperlink>
        </w:p>
        <w:p>
          <w:pPr>
            <w:pStyle w:val="Verzeichnis1"/>
            <w:tabs>
              <w:tab w:val="right" w:leader="dot" w:pos="14277"/>
            </w:tabs>
            <w:rPr>
              <w:noProof/>
              <w:color w:val="1F4E79" w:themeColor="accent5" w:themeShade="80"/>
              <w:sz w:val="28"/>
            </w:rPr>
          </w:pPr>
          <w:hyperlink w:anchor="_Toc112432770" w:history="1">
            <w:r>
              <w:rPr>
                <w:rStyle w:val="Hyperlink"/>
                <w:rFonts w:eastAsia="Times New Roman"/>
                <w:noProof/>
                <w:color w:val="1F4E79" w:themeColor="accent5" w:themeShade="80"/>
                <w:sz w:val="28"/>
                <w:lang w:eastAsia="de-DE"/>
              </w:rPr>
              <w:t>Verfügbarkeit Nierenersatz-Behandlung</w:t>
            </w:r>
            <w:r>
              <w:rPr>
                <w:noProof/>
                <w:webHidden/>
                <w:color w:val="1F4E79" w:themeColor="accent5" w:themeShade="80"/>
                <w:sz w:val="28"/>
              </w:rPr>
              <w:tab/>
            </w:r>
            <w:r>
              <w:rPr>
                <w:noProof/>
                <w:webHidden/>
                <w:color w:val="1F4E79" w:themeColor="accent5" w:themeShade="80"/>
                <w:sz w:val="28"/>
              </w:rPr>
              <w:fldChar w:fldCharType="begin"/>
            </w:r>
            <w:r>
              <w:rPr>
                <w:noProof/>
                <w:webHidden/>
                <w:color w:val="1F4E79" w:themeColor="accent5" w:themeShade="80"/>
                <w:sz w:val="28"/>
              </w:rPr>
              <w:instrText xml:space="preserve"> PAGEREF _Toc112432770 \h </w:instrText>
            </w:r>
            <w:r>
              <w:rPr>
                <w:noProof/>
                <w:webHidden/>
                <w:color w:val="1F4E79" w:themeColor="accent5" w:themeShade="80"/>
                <w:sz w:val="28"/>
              </w:rPr>
            </w:r>
            <w:r>
              <w:rPr>
                <w:noProof/>
                <w:webHidden/>
                <w:color w:val="1F4E79" w:themeColor="accent5" w:themeShade="80"/>
                <w:sz w:val="28"/>
              </w:rPr>
              <w:fldChar w:fldCharType="separate"/>
            </w:r>
            <w:r>
              <w:rPr>
                <w:noProof/>
                <w:webHidden/>
                <w:color w:val="1F4E79" w:themeColor="accent5" w:themeShade="80"/>
                <w:sz w:val="28"/>
              </w:rPr>
              <w:t>7</w:t>
            </w:r>
            <w:r>
              <w:rPr>
                <w:noProof/>
                <w:webHidden/>
                <w:color w:val="1F4E79" w:themeColor="accent5" w:themeShade="80"/>
                <w:sz w:val="28"/>
              </w:rPr>
              <w:fldChar w:fldCharType="end"/>
            </w:r>
          </w:hyperlink>
        </w:p>
        <w:p>
          <w:r>
            <w:rPr>
              <w:b/>
              <w:bCs/>
            </w:rPr>
            <w:fldChar w:fldCharType="end"/>
          </w:r>
        </w:p>
      </w:sdtContent>
    </w:sdt>
    <w:p>
      <w:pPr>
        <w:rPr>
          <w:rFonts w:ascii="Scala OT" w:eastAsia="Times New Roman" w:hAnsi="Scala OT" w:cs="Calibri"/>
          <w:bCs/>
          <w:color w:val="C00000"/>
          <w:sz w:val="24"/>
          <w:szCs w:val="24"/>
          <w:u w:val="single"/>
          <w:lang w:eastAsia="de-DE"/>
        </w:rPr>
      </w:pPr>
      <w:r>
        <w:rPr>
          <w:rFonts w:ascii="Scala OT" w:eastAsia="Times New Roman" w:hAnsi="Scala OT" w:cs="Calibri"/>
          <w:bCs/>
          <w:color w:val="C00000"/>
          <w:sz w:val="24"/>
          <w:szCs w:val="24"/>
          <w:u w:val="single"/>
          <w:lang w:eastAsia="de-DE"/>
        </w:rPr>
        <w:t xml:space="preserve">Aktuelle </w:t>
      </w:r>
      <w:proofErr w:type="spellStart"/>
      <w:r>
        <w:rPr>
          <w:rFonts w:ascii="Scala OT" w:eastAsia="Times New Roman" w:hAnsi="Scala OT" w:cs="Calibri"/>
          <w:bCs/>
          <w:color w:val="C00000"/>
          <w:sz w:val="24"/>
          <w:szCs w:val="24"/>
          <w:u w:val="single"/>
          <w:lang w:eastAsia="de-DE"/>
        </w:rPr>
        <w:t>DIVIReg</w:t>
      </w:r>
      <w:proofErr w:type="spellEnd"/>
      <w:r>
        <w:rPr>
          <w:rFonts w:ascii="Scala OT" w:eastAsia="Times New Roman" w:hAnsi="Scala OT" w:cs="Calibri"/>
          <w:bCs/>
          <w:color w:val="C00000"/>
          <w:sz w:val="24"/>
          <w:szCs w:val="24"/>
          <w:u w:val="single"/>
          <w:lang w:eastAsia="de-DE"/>
        </w:rPr>
        <w:t>-Verordnung:</w:t>
      </w:r>
    </w:p>
    <w:p>
      <w:pPr>
        <w:rPr>
          <w:rFonts w:ascii="Scala OT" w:eastAsia="Times New Roman" w:hAnsi="Scala OT" w:cs="Calibri"/>
          <w:bCs/>
          <w:sz w:val="24"/>
          <w:szCs w:val="24"/>
          <w:lang w:eastAsia="de-DE"/>
        </w:rPr>
      </w:pPr>
      <w:r>
        <w:rPr>
          <w:rFonts w:ascii="Scala OT" w:eastAsia="Times New Roman" w:hAnsi="Scala OT" w:cs="Calibri"/>
          <w:bCs/>
          <w:sz w:val="24"/>
          <w:szCs w:val="24"/>
          <w:lang w:eastAsia="de-DE"/>
        </w:rPr>
        <w:t xml:space="preserve">Folgende dieser Erfassungs-Kandidaten werden in der DIVI-Reg-VO unter der Meldepflicht geführt und bedingen eine VO-Anpassung: </w:t>
      </w:r>
      <w:r>
        <w:rPr>
          <w:rFonts w:ascii="Scala OT" w:eastAsia="Times New Roman" w:hAnsi="Scala OT" w:cs="Calibri"/>
          <w:bCs/>
          <w:sz w:val="24"/>
          <w:szCs w:val="24"/>
          <w:lang w:eastAsia="de-DE"/>
        </w:rPr>
        <w:br/>
        <w:t xml:space="preserve">Schwangere, Virusvarianten, Impfstatus, ICU-Reserve, Gesamtzahl verlegte/verstorbene COVID-19-Patient*innen </w:t>
      </w:r>
    </w:p>
    <w:p>
      <w:pPr>
        <w:rPr>
          <w:rFonts w:ascii="Scala OT" w:eastAsia="Times New Roman" w:hAnsi="Scala OT" w:cs="Calibri"/>
          <w:bCs/>
          <w:color w:val="0070C0"/>
          <w:sz w:val="24"/>
          <w:szCs w:val="24"/>
          <w:lang w:eastAsia="de-DE"/>
        </w:rPr>
      </w:pPr>
    </w:p>
    <w:p>
      <w:pPr>
        <w:rPr>
          <w:rFonts w:ascii="Scala OT" w:eastAsia="Times New Roman" w:hAnsi="Scala OT" w:cs="Calibri"/>
          <w:bCs/>
          <w:color w:val="0070C0"/>
          <w:sz w:val="24"/>
          <w:szCs w:val="24"/>
          <w:lang w:eastAsia="de-DE"/>
        </w:rPr>
      </w:pPr>
      <w:r>
        <w:rPr>
          <w:rFonts w:ascii="Scala OT" w:eastAsia="Times New Roman" w:hAnsi="Scala OT" w:cs="Calibri"/>
          <w:bCs/>
          <w:color w:val="0070C0"/>
          <w:sz w:val="24"/>
          <w:szCs w:val="24"/>
          <w:lang w:eastAsia="de-DE"/>
        </w:rPr>
        <w:br w:type="page"/>
      </w:r>
    </w:p>
    <w:p>
      <w:pPr>
        <w:spacing w:after="0" w:line="240" w:lineRule="auto"/>
        <w:rPr>
          <w:rFonts w:ascii="Scala OT" w:eastAsia="Times New Roman" w:hAnsi="Scala OT" w:cs="Calibri"/>
          <w:b/>
          <w:bCs/>
          <w:color w:val="000000"/>
          <w:sz w:val="32"/>
          <w:szCs w:val="28"/>
          <w:lang w:eastAsia="de-DE"/>
        </w:rPr>
      </w:pPr>
    </w:p>
    <w:p>
      <w:pPr>
        <w:spacing w:after="0" w:line="240" w:lineRule="auto"/>
        <w:rPr>
          <w:rFonts w:ascii="Scala OT" w:eastAsia="Times New Roman" w:hAnsi="Scala OT" w:cs="Calibri"/>
          <w:b/>
          <w:bCs/>
          <w:color w:val="000000"/>
          <w:sz w:val="32"/>
          <w:szCs w:val="28"/>
          <w:lang w:eastAsia="de-DE"/>
        </w:rPr>
      </w:pPr>
    </w:p>
    <w:p>
      <w:pPr>
        <w:spacing w:after="0" w:line="240" w:lineRule="auto"/>
        <w:rPr>
          <w:rFonts w:ascii="Scala OT" w:eastAsia="Times New Roman" w:hAnsi="Scala OT" w:cs="Calibri"/>
          <w:b/>
          <w:bCs/>
          <w:color w:val="000000"/>
          <w:sz w:val="32"/>
          <w:szCs w:val="28"/>
          <w:lang w:eastAsia="de-DE"/>
        </w:rPr>
      </w:pPr>
      <w:bookmarkStart w:id="0" w:name="_GoBack"/>
      <w:bookmarkEnd w:id="0"/>
      <w:r>
        <w:rPr>
          <w:rFonts w:ascii="Scala OT" w:eastAsia="Times New Roman" w:hAnsi="Scala OT" w:cs="Calibri"/>
          <w:b/>
          <w:bCs/>
          <w:color w:val="000000"/>
          <w:sz w:val="32"/>
          <w:szCs w:val="28"/>
          <w:lang w:eastAsia="de-DE"/>
        </w:rPr>
        <w:t xml:space="preserve">Vorschlag </w:t>
      </w:r>
      <w:r>
        <w:rPr>
          <w:rFonts w:ascii="Scala OT" w:eastAsia="Times New Roman" w:hAnsi="Scala OT" w:cs="Calibri"/>
          <w:b/>
          <w:bCs/>
          <w:color w:val="000000"/>
          <w:sz w:val="32"/>
          <w:szCs w:val="28"/>
          <w:lang w:eastAsia="de-DE"/>
        </w:rPr>
        <w:t>Einführung neue Differenzierung SARS-CoV-2 Patient*innen</w:t>
      </w:r>
      <w:r>
        <w:rPr>
          <w:rFonts w:ascii="Scala OT" w:eastAsia="Times New Roman" w:hAnsi="Scala OT" w:cs="Calibri"/>
          <w:b/>
          <w:bCs/>
          <w:color w:val="000000"/>
          <w:sz w:val="32"/>
          <w:szCs w:val="28"/>
          <w:lang w:eastAsia="de-DE"/>
        </w:rPr>
        <w:t xml:space="preserve"> </w:t>
      </w:r>
      <w:r>
        <w:rPr>
          <w:rFonts w:ascii="Scala OT" w:eastAsia="Times New Roman" w:hAnsi="Scala OT" w:cs="Calibri"/>
          <w:b/>
          <w:bCs/>
          <w:color w:val="000000"/>
          <w:sz w:val="32"/>
          <w:szCs w:val="28"/>
          <w:lang w:eastAsia="de-DE"/>
        </w:rPr>
        <w:br/>
      </w:r>
      <w:r>
        <w:rPr>
          <w:rFonts w:ascii="Scala OT" w:eastAsia="Times New Roman" w:hAnsi="Scala OT" w:cs="Calibri"/>
          <w:bCs/>
          <w:i/>
          <w:color w:val="000000"/>
          <w:sz w:val="32"/>
          <w:szCs w:val="28"/>
          <w:lang w:eastAsia="de-DE"/>
        </w:rPr>
        <w:t>(von den Kollegen der DIVI e.V.)</w:t>
      </w:r>
    </w:p>
    <w:p>
      <w:pPr>
        <w:pStyle w:val="NurText"/>
      </w:pPr>
    </w:p>
    <w:p>
      <w:pPr>
        <w:pStyle w:val="NurText"/>
      </w:pPr>
    </w:p>
    <w:p>
      <w:pPr>
        <w:pStyle w:val="NurText"/>
      </w:pPr>
    </w:p>
    <w:p>
      <w:pPr>
        <w:pStyle w:val="NurText"/>
        <w:rPr>
          <w:sz w:val="28"/>
        </w:rPr>
      </w:pPr>
      <w:r>
        <w:rPr>
          <w:sz w:val="28"/>
        </w:rPr>
        <w:t>Belegungs-Anzahl der</w:t>
      </w:r>
      <w:r>
        <w:rPr>
          <w:sz w:val="28"/>
        </w:rPr>
        <w:t xml:space="preserve"> SARS-CoV-2 Infektion</w:t>
      </w:r>
      <w:r>
        <w:rPr>
          <w:sz w:val="28"/>
        </w:rPr>
        <w:t xml:space="preserve"> Patient*innen differenziert nach:</w:t>
      </w:r>
    </w:p>
    <w:p>
      <w:pPr>
        <w:pStyle w:val="NurText"/>
        <w:rPr>
          <w:sz w:val="28"/>
        </w:rPr>
      </w:pPr>
    </w:p>
    <w:p>
      <w:pPr>
        <w:pStyle w:val="NurText"/>
        <w:rPr>
          <w:sz w:val="28"/>
        </w:rPr>
      </w:pPr>
    </w:p>
    <w:p>
      <w:pPr>
        <w:pStyle w:val="NurText"/>
        <w:spacing w:line="360" w:lineRule="auto"/>
        <w:rPr>
          <w:color w:val="4472C4" w:themeColor="accent1"/>
          <w:sz w:val="28"/>
        </w:rPr>
      </w:pPr>
      <w:r>
        <w:rPr>
          <w:color w:val="4472C4" w:themeColor="accent1"/>
          <w:sz w:val="28"/>
        </w:rPr>
        <w:t xml:space="preserve">A: </w:t>
      </w:r>
      <w:r>
        <w:rPr>
          <w:color w:val="4472C4" w:themeColor="accent1"/>
          <w:sz w:val="28"/>
        </w:rPr>
        <w:t xml:space="preserve"> </w:t>
      </w:r>
      <w:r>
        <w:rPr>
          <w:color w:val="4472C4" w:themeColor="accent1"/>
          <w:sz w:val="28"/>
        </w:rPr>
        <w:t>Primäre Lungen- und/oder Sy</w:t>
      </w:r>
      <w:r>
        <w:rPr>
          <w:color w:val="4472C4" w:themeColor="accent1"/>
          <w:sz w:val="28"/>
        </w:rPr>
        <w:t>s</w:t>
      </w:r>
      <w:r>
        <w:rPr>
          <w:color w:val="4472C4" w:themeColor="accent1"/>
          <w:sz w:val="28"/>
        </w:rPr>
        <w:t>tembeteiligung der COVID Infektion</w:t>
      </w:r>
    </w:p>
    <w:p>
      <w:pPr>
        <w:pStyle w:val="NurText"/>
        <w:spacing w:line="360" w:lineRule="auto"/>
        <w:rPr>
          <w:color w:val="4472C4" w:themeColor="accent1"/>
          <w:sz w:val="28"/>
        </w:rPr>
      </w:pPr>
      <w:r>
        <w:rPr>
          <w:color w:val="4472C4" w:themeColor="accent1"/>
          <w:sz w:val="28"/>
        </w:rPr>
        <w:t xml:space="preserve">B: </w:t>
      </w:r>
      <w:r>
        <w:rPr>
          <w:color w:val="4472C4" w:themeColor="accent1"/>
          <w:sz w:val="28"/>
        </w:rPr>
        <w:t xml:space="preserve"> </w:t>
      </w:r>
      <w:r>
        <w:rPr>
          <w:color w:val="4472C4" w:themeColor="accent1"/>
          <w:sz w:val="28"/>
        </w:rPr>
        <w:t>COVID-19 Infektion als Nebendiagnose</w:t>
      </w:r>
      <w:r>
        <w:rPr>
          <w:color w:val="4472C4" w:themeColor="accent1"/>
          <w:sz w:val="28"/>
        </w:rPr>
        <w:t xml:space="preserve"> mit Einfluss auf die</w:t>
      </w:r>
      <w:r>
        <w:rPr>
          <w:color w:val="4472C4" w:themeColor="accent1"/>
          <w:sz w:val="28"/>
        </w:rPr>
        <w:t xml:space="preserve"> Grunderkrankung </w:t>
      </w:r>
    </w:p>
    <w:p>
      <w:pPr>
        <w:pStyle w:val="NurText"/>
        <w:spacing w:line="360" w:lineRule="auto"/>
        <w:rPr>
          <w:color w:val="4472C4" w:themeColor="accent1"/>
          <w:sz w:val="28"/>
        </w:rPr>
      </w:pPr>
      <w:r>
        <w:rPr>
          <w:color w:val="4472C4" w:themeColor="accent1"/>
          <w:sz w:val="28"/>
        </w:rPr>
        <w:t xml:space="preserve">C: </w:t>
      </w:r>
      <w:r>
        <w:rPr>
          <w:color w:val="4472C4" w:themeColor="accent1"/>
          <w:sz w:val="28"/>
        </w:rPr>
        <w:t xml:space="preserve"> </w:t>
      </w:r>
      <w:r>
        <w:rPr>
          <w:color w:val="4472C4" w:themeColor="accent1"/>
          <w:sz w:val="28"/>
        </w:rPr>
        <w:t xml:space="preserve">SARS-CoV-2 Infektion </w:t>
      </w:r>
      <w:r>
        <w:rPr>
          <w:color w:val="4472C4" w:themeColor="accent1"/>
          <w:sz w:val="28"/>
        </w:rPr>
        <w:t xml:space="preserve">mit keinem Einfluss auf die </w:t>
      </w:r>
      <w:r>
        <w:rPr>
          <w:color w:val="4472C4" w:themeColor="accent1"/>
          <w:sz w:val="28"/>
        </w:rPr>
        <w:t xml:space="preserve">Grunderkrankung </w:t>
      </w:r>
    </w:p>
    <w:p>
      <w:pPr>
        <w:rPr>
          <w:rFonts w:ascii="Scala OT" w:eastAsia="Times New Roman" w:hAnsi="Scala OT" w:cs="Calibri"/>
          <w:bCs/>
          <w:color w:val="0070C0"/>
          <w:sz w:val="32"/>
          <w:szCs w:val="24"/>
          <w:lang w:eastAsia="de-DE"/>
        </w:rPr>
      </w:pPr>
      <w:r>
        <w:rPr>
          <w:rFonts w:ascii="Scala OT" w:eastAsia="Times New Roman" w:hAnsi="Scala OT" w:cs="Calibri"/>
          <w:bCs/>
          <w:color w:val="0070C0"/>
          <w:sz w:val="32"/>
          <w:szCs w:val="24"/>
          <w:lang w:eastAsia="de-DE"/>
        </w:rPr>
        <w:t xml:space="preserve"> </w:t>
      </w:r>
      <w:r>
        <w:rPr>
          <w:rFonts w:ascii="Scala OT" w:eastAsia="Times New Roman" w:hAnsi="Scala OT" w:cs="Calibri"/>
          <w:bCs/>
          <w:color w:val="0070C0"/>
          <w:sz w:val="32"/>
          <w:szCs w:val="24"/>
          <w:lang w:eastAsia="de-DE"/>
        </w:rPr>
        <w:br w:type="page"/>
      </w:r>
    </w:p>
    <w:p>
      <w:pPr>
        <w:pStyle w:val="berschrift1"/>
        <w:rPr>
          <w:rFonts w:eastAsia="Times New Roman"/>
          <w:lang w:eastAsia="de-DE"/>
        </w:rPr>
      </w:pPr>
      <w:bookmarkStart w:id="1" w:name="_Toc112432765"/>
      <w:r>
        <w:rPr>
          <w:rFonts w:eastAsia="Times New Roman"/>
          <w:lang w:eastAsia="de-DE"/>
        </w:rPr>
        <w:lastRenderedPageBreak/>
        <w:t>ICU-RESERVE</w:t>
      </w:r>
      <w:bookmarkEnd w:id="1"/>
    </w:p>
    <w:p>
      <w:pPr>
        <w:rPr>
          <w:rFonts w:ascii="Scala OT" w:eastAsia="Times New Roman" w:hAnsi="Scala OT" w:cs="Calibri"/>
          <w:b/>
          <w:bCs/>
          <w:color w:val="4472C4"/>
          <w:sz w:val="24"/>
          <w:szCs w:val="24"/>
          <w:lang w:eastAsia="de-DE"/>
        </w:rPr>
      </w:pPr>
      <w:r>
        <w:rPr>
          <w:rFonts w:ascii="Scala OT" w:eastAsia="Times New Roman" w:hAnsi="Scala OT" w:cs="Calibri"/>
          <w:b/>
          <w:bCs/>
          <w:color w:val="4472C4"/>
          <w:sz w:val="24"/>
          <w:szCs w:val="24"/>
          <w:lang w:eastAsia="de-DE"/>
        </w:rPr>
        <w:t>Anzahl zusätzlich aktivierbarer Intensivbehandlungsplätze im Notfall-Szenario</w:t>
      </w:r>
    </w:p>
    <w:p>
      <w:pPr>
        <w:rPr>
          <w:rFonts w:ascii="Scala OT" w:eastAsia="Times New Roman" w:hAnsi="Scala OT" w:cs="Calibri"/>
          <w:b/>
          <w:bCs/>
          <w:color w:val="4472C4"/>
          <w:sz w:val="24"/>
          <w:szCs w:val="24"/>
          <w:lang w:eastAsia="de-DE"/>
        </w:rPr>
      </w:pPr>
      <w:r>
        <w:rPr>
          <w:b/>
          <w:color w:val="C00000"/>
          <w:sz w:val="24"/>
          <w:lang w:eastAsia="de-DE"/>
        </w:rPr>
        <w:t xml:space="preserve">In </w:t>
      </w:r>
      <w:proofErr w:type="spellStart"/>
      <w:r>
        <w:rPr>
          <w:b/>
          <w:color w:val="C00000"/>
          <w:sz w:val="24"/>
          <w:lang w:eastAsia="de-DE"/>
        </w:rPr>
        <w:t>DiviReg</w:t>
      </w:r>
      <w:proofErr w:type="spellEnd"/>
      <w:r>
        <w:rPr>
          <w:b/>
          <w:color w:val="C00000"/>
          <w:sz w:val="24"/>
          <w:lang w:eastAsia="de-DE"/>
        </w:rPr>
        <w:t xml:space="preserve">-Verordnung enthalten:  indirekt in </w:t>
      </w:r>
      <w:r>
        <w:rPr>
          <w:b/>
          <w:i/>
          <w:color w:val="C00000"/>
          <w:sz w:val="24"/>
          <w:lang w:eastAsia="de-DE"/>
        </w:rPr>
        <w:t>§1(2)</w:t>
      </w:r>
      <w:r>
        <w:rPr>
          <w:b/>
          <w:i/>
          <w:color w:val="C00000"/>
          <w:sz w:val="24"/>
          <w:vertAlign w:val="superscript"/>
          <w:lang w:eastAsia="de-DE"/>
        </w:rPr>
        <w:t>3</w:t>
      </w:r>
      <w:r>
        <w:rPr>
          <w:b/>
          <w:color w:val="C00000"/>
          <w:sz w:val="24"/>
          <w:lang w:eastAsia="de-DE"/>
        </w:rPr>
        <w:t xml:space="preserve"> </w:t>
      </w:r>
    </w:p>
    <w:tbl>
      <w:tblPr>
        <w:tblStyle w:val="Tabellenraster"/>
        <w:tblW w:w="0" w:type="auto"/>
        <w:tblLook w:val="04A0" w:firstRow="1" w:lastRow="0" w:firstColumn="1" w:lastColumn="0" w:noHBand="0" w:noVBand="1"/>
      </w:tblPr>
      <w:tblGrid>
        <w:gridCol w:w="4759"/>
        <w:gridCol w:w="4759"/>
        <w:gridCol w:w="4759"/>
      </w:tblGrid>
      <w:tr>
        <w:tc>
          <w:tcPr>
            <w:tcW w:w="4759" w:type="dxa"/>
          </w:tcPr>
          <w:p>
            <w:pPr>
              <w:tabs>
                <w:tab w:val="left" w:pos="939"/>
              </w:tabs>
              <w:rPr>
                <w:rFonts w:ascii="Scala OT" w:hAnsi="Scala OT"/>
                <w:i/>
                <w:color w:val="767171" w:themeColor="background2" w:themeShade="80"/>
              </w:rPr>
            </w:pPr>
            <w:r>
              <w:rPr>
                <w:rFonts w:ascii="Scala OT" w:hAnsi="Scala OT"/>
                <w:i/>
                <w:color w:val="767171" w:themeColor="background2" w:themeShade="80"/>
              </w:rPr>
              <w:t>Textfeld-Beschreibung</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Ausfüllhinweis (Mouseover-Text):</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Grund für das Pausieren des Datenfelds:</w:t>
            </w:r>
          </w:p>
        </w:tc>
      </w:tr>
      <w:tr>
        <w:tc>
          <w:tcPr>
            <w:tcW w:w="4759" w:type="dxa"/>
          </w:tcPr>
          <w:p>
            <w:pPr>
              <w:jc w:val="both"/>
              <w:rPr>
                <w:rFonts w:ascii="Scala OT" w:hAnsi="Scala OT"/>
              </w:rPr>
            </w:pPr>
            <w:r>
              <w:rPr>
                <w:rFonts w:ascii="Scala OT" w:hAnsi="Scala OT"/>
              </w:rPr>
              <w:t>Q10: Wie viele Intensivbehandlungsplätze (Low-Care &amp; High-Care), außerhalb der aktuell tatsächlich aufgestellten Intensivbehandlungsplätze, ließen sich im Rahmen eines intensivmedizinischen Notfall-Szenarios innerhalb von 7 Tagen an ihrem Standort betreiben?</w:t>
            </w:r>
          </w:p>
        </w:tc>
        <w:tc>
          <w:tcPr>
            <w:tcW w:w="4759" w:type="dxa"/>
          </w:tcPr>
          <w:p>
            <w:pPr>
              <w:jc w:val="both"/>
              <w:rPr>
                <w:rFonts w:ascii="Scala OT" w:hAnsi="Scala OT"/>
              </w:rPr>
            </w:pPr>
            <w:r>
              <w:rPr>
                <w:rFonts w:ascii="Scala OT" w:hAnsi="Scala OT"/>
              </w:rPr>
              <w:t>Gehen Sie von einem Notfall-Szenario aus, in welchem sämtliche intensivmedizinischen Reserven in ihrem Standort innerhalb von 7 Tagen aktiviert werden müssen. Es sollen hier Intensivbetten angegeben werden, die aktuell inaktiv gehalten werden und nicht Gegenstand der täglichen Bettenplanung sind (z.B. zusätzlich geschaffene aber inaktive Kapazitäten, aufgestellte aber inaktive Räume/ Stationen, weitere eingelagerte Bestände etc.), die aber innerhalb von 7 Tagen personell und strukturell betreibbar wären. Machen sie diese Angabe unter der Annahme eines bei ihnen möglichen, an die Situation angepassten Personalschlüssels.</w:t>
            </w:r>
          </w:p>
        </w:tc>
        <w:tc>
          <w:tcPr>
            <w:tcW w:w="4759" w:type="dxa"/>
          </w:tcPr>
          <w:p>
            <w:pPr>
              <w:jc w:val="both"/>
              <w:rPr>
                <w:rFonts w:ascii="Scala OT" w:hAnsi="Scala OT"/>
              </w:rPr>
            </w:pPr>
            <w:r>
              <w:rPr>
                <w:rFonts w:ascii="Scala OT" w:hAnsi="Scala OT"/>
              </w:rPr>
              <w:t>* Die innerhalb von 7 Tagen zu schaffenden Kapazitäten für ein Notfallszenario ändern sich i.d.R. nicht täglich und bedürfen keiner täglichen Eingabe. Die bisher erfassten Daten bestätigen ebenfalls relativ konstante Werte über längere Zeiträume.</w:t>
            </w:r>
          </w:p>
          <w:p>
            <w:pPr>
              <w:jc w:val="both"/>
              <w:rPr>
                <w:rFonts w:ascii="Scala OT" w:hAnsi="Scala OT"/>
              </w:rPr>
            </w:pPr>
            <w:r>
              <w:rPr>
                <w:rFonts w:ascii="Scala OT" w:hAnsi="Scala OT"/>
              </w:rPr>
              <w:t>* Die Meldung dieses Wertes birgt eine gewisse Komplexität und Schwierigkeiten für die Meldenden: Die Schaffung von Notfallplätze setzt häufig Umstrukturierungen des Geschäfts in der Klinik voraus (für den Zusammenzug von Personal und Räumlichkeiten). Diese Meldung kann demnach nur auf Standort-Ebene sinnvoll getroffen werden und weniger akkurat von der aktuell meldenden Ebene der Intensivstationen.</w:t>
            </w:r>
          </w:p>
          <w:p>
            <w:pPr>
              <w:jc w:val="both"/>
              <w:rPr>
                <w:rFonts w:ascii="Scala OT" w:hAnsi="Scala OT"/>
              </w:rPr>
            </w:pPr>
            <w:r>
              <w:rPr>
                <w:rFonts w:ascii="Scala OT" w:hAnsi="Scala OT"/>
              </w:rPr>
              <w:t>Die bisher gemeldeten Werte sind daher in ihrer Qualität vorsichtig zu bewerten.</w:t>
            </w:r>
          </w:p>
          <w:p>
            <w:pPr>
              <w:jc w:val="both"/>
              <w:rPr>
                <w:rFonts w:ascii="Scala OT" w:hAnsi="Scala OT"/>
              </w:rPr>
            </w:pPr>
            <w:r>
              <w:rPr>
                <w:rFonts w:ascii="Scala OT" w:hAnsi="Scala OT"/>
              </w:rPr>
              <w:t>* Die Werte sind grundlegend schwer interpretierbar zur Nutzung für Entscheidungen und schwierig zu kommunizieren.</w:t>
            </w:r>
          </w:p>
          <w:p>
            <w:pPr>
              <w:jc w:val="both"/>
              <w:rPr>
                <w:rFonts w:ascii="Scala OT" w:hAnsi="Scala OT"/>
              </w:rPr>
            </w:pPr>
            <w:r>
              <w:rPr>
                <w:rFonts w:ascii="Scala OT" w:hAnsi="Scala OT"/>
              </w:rPr>
              <w:t>* Dieser Indikator ist nicht gut aus einem KIS extrahierbar.</w:t>
            </w:r>
          </w:p>
          <w:p>
            <w:pPr>
              <w:jc w:val="both"/>
              <w:rPr>
                <w:rFonts w:ascii="Scala OT" w:hAnsi="Scala OT"/>
              </w:rPr>
            </w:pPr>
            <w:r>
              <w:rPr>
                <w:rFonts w:ascii="Scala OT" w:hAnsi="Scala OT"/>
              </w:rPr>
              <w:t>* Eine tägliche Erfassung scheint hier gemessen am Nutzen zu aufwändig, Abfrage soll maximal alle 6 Monate erfolgen</w:t>
            </w:r>
          </w:p>
        </w:tc>
      </w:tr>
    </w:tbl>
    <w:p>
      <w:pPr>
        <w:rPr>
          <w:rFonts w:ascii="Scala OT" w:hAnsi="Scala OT"/>
        </w:rPr>
      </w:pPr>
    </w:p>
    <w:p>
      <w:pPr>
        <w:rPr>
          <w:rFonts w:ascii="Scala OT" w:hAnsi="Scala OT"/>
        </w:rPr>
      </w:pPr>
      <w:r>
        <w:rPr>
          <w:rFonts w:ascii="Scala OT" w:hAnsi="Scala OT"/>
        </w:rPr>
        <w:br w:type="page"/>
      </w:r>
    </w:p>
    <w:p>
      <w:pPr>
        <w:pStyle w:val="berschrift1"/>
        <w:rPr>
          <w:rFonts w:eastAsia="Times New Roman"/>
          <w:lang w:eastAsia="de-DE"/>
        </w:rPr>
      </w:pPr>
      <w:bookmarkStart w:id="2" w:name="_Toc112432766"/>
      <w:r>
        <w:rPr>
          <w:rFonts w:eastAsia="Times New Roman"/>
          <w:lang w:eastAsia="de-DE"/>
        </w:rPr>
        <w:lastRenderedPageBreak/>
        <w:t>Schwangere und frisch Entbundene mit COVID-19</w:t>
      </w:r>
      <w:bookmarkEnd w:id="2"/>
    </w:p>
    <w:p>
      <w:pPr>
        <w:rPr>
          <w:lang w:eastAsia="de-DE"/>
        </w:rPr>
      </w:pPr>
    </w:p>
    <w:p>
      <w:pPr>
        <w:rPr>
          <w:lang w:eastAsia="de-DE"/>
        </w:rPr>
      </w:pPr>
      <w:r>
        <w:rPr>
          <w:b/>
          <w:color w:val="C00000"/>
          <w:sz w:val="24"/>
          <w:lang w:eastAsia="de-DE"/>
        </w:rPr>
        <w:t xml:space="preserve">In </w:t>
      </w:r>
      <w:proofErr w:type="spellStart"/>
      <w:r>
        <w:rPr>
          <w:b/>
          <w:color w:val="C00000"/>
          <w:sz w:val="24"/>
          <w:lang w:eastAsia="de-DE"/>
        </w:rPr>
        <w:t>DiviReg</w:t>
      </w:r>
      <w:proofErr w:type="spellEnd"/>
      <w:r>
        <w:rPr>
          <w:b/>
          <w:color w:val="C00000"/>
          <w:sz w:val="24"/>
          <w:lang w:eastAsia="de-DE"/>
        </w:rPr>
        <w:t xml:space="preserve">-Verordnung enthalten:  </w:t>
      </w:r>
      <w:r>
        <w:rPr>
          <w:b/>
          <w:i/>
          <w:color w:val="C00000"/>
          <w:sz w:val="24"/>
          <w:lang w:eastAsia="de-DE"/>
        </w:rPr>
        <w:t>§1(3) 1.b)</w:t>
      </w:r>
      <w:r>
        <w:rPr>
          <w:b/>
          <w:color w:val="C00000"/>
          <w:sz w:val="24"/>
          <w:lang w:eastAsia="de-DE"/>
        </w:rPr>
        <w:t xml:space="preserve">  </w:t>
      </w:r>
    </w:p>
    <w:p>
      <w:pPr>
        <w:spacing w:after="0" w:line="240" w:lineRule="auto"/>
        <w:rPr>
          <w:rFonts w:ascii="Scala OT" w:eastAsia="Times New Roman" w:hAnsi="Scala OT" w:cs="Calibri"/>
          <w:color w:val="000000"/>
          <w:sz w:val="20"/>
          <w:szCs w:val="20"/>
          <w:lang w:eastAsia="de-DE"/>
        </w:rPr>
      </w:pPr>
      <w:r>
        <w:rPr>
          <w:rFonts w:ascii="Scala OT" w:eastAsia="Times New Roman" w:hAnsi="Scala OT" w:cs="Calibri"/>
          <w:color w:val="000000"/>
          <w:sz w:val="20"/>
          <w:szCs w:val="20"/>
          <w:lang w:eastAsia="de-DE"/>
        </w:rPr>
        <w:t>Diese Erfassung wird nur für Meldebereiche abgefragt, die als Behandlungsschwerpunkt „</w:t>
      </w:r>
      <w:r>
        <w:rPr>
          <w:rFonts w:ascii="Scala OT" w:eastAsia="Times New Roman" w:hAnsi="Scala OT" w:cs="Calibri"/>
          <w:b/>
          <w:bCs/>
          <w:color w:val="000000"/>
          <w:sz w:val="20"/>
          <w:szCs w:val="20"/>
          <w:lang w:eastAsia="de-DE"/>
        </w:rPr>
        <w:t>Erwachsene</w:t>
      </w:r>
      <w:r>
        <w:rPr>
          <w:rFonts w:ascii="Scala OT" w:eastAsia="Times New Roman" w:hAnsi="Scala OT" w:cs="Calibri"/>
          <w:color w:val="000000"/>
          <w:sz w:val="20"/>
          <w:szCs w:val="20"/>
          <w:lang w:eastAsia="de-DE"/>
        </w:rPr>
        <w:t>“ angegeben haben oder den Behandlungsschwerpunkt nicht angegeben haben („NA“).</w:t>
      </w:r>
    </w:p>
    <w:p>
      <w:pPr>
        <w:spacing w:after="0" w:line="240" w:lineRule="auto"/>
        <w:rPr>
          <w:rFonts w:ascii="Scala OT" w:eastAsia="Times New Roman" w:hAnsi="Scala OT" w:cs="Calibri"/>
          <w:color w:val="000000"/>
          <w:sz w:val="8"/>
          <w:szCs w:val="20"/>
          <w:lang w:eastAsia="de-DE"/>
        </w:rPr>
      </w:pPr>
    </w:p>
    <w:tbl>
      <w:tblPr>
        <w:tblStyle w:val="Tabellenraster"/>
        <w:tblW w:w="0" w:type="auto"/>
        <w:tblLook w:val="04A0" w:firstRow="1" w:lastRow="0" w:firstColumn="1" w:lastColumn="0" w:noHBand="0" w:noVBand="1"/>
      </w:tblPr>
      <w:tblGrid>
        <w:gridCol w:w="4759"/>
        <w:gridCol w:w="4759"/>
        <w:gridCol w:w="4759"/>
      </w:tblGrid>
      <w:tr>
        <w:tc>
          <w:tcPr>
            <w:tcW w:w="4759" w:type="dxa"/>
          </w:tcPr>
          <w:p>
            <w:pPr>
              <w:tabs>
                <w:tab w:val="left" w:pos="939"/>
              </w:tabs>
              <w:rPr>
                <w:rFonts w:ascii="Scala OT" w:hAnsi="Scala OT"/>
                <w:i/>
                <w:color w:val="767171" w:themeColor="background2" w:themeShade="80"/>
              </w:rPr>
            </w:pPr>
            <w:r>
              <w:rPr>
                <w:rFonts w:ascii="Scala OT" w:hAnsi="Scala OT"/>
                <w:i/>
                <w:color w:val="767171" w:themeColor="background2" w:themeShade="80"/>
              </w:rPr>
              <w:t>Textfeld-Beschreibung</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Ausfüllhinweis (Mouseover-Text):</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Grund für das Pausieren des Datenfelds:</w:t>
            </w:r>
          </w:p>
        </w:tc>
      </w:tr>
      <w:tr>
        <w:tc>
          <w:tcPr>
            <w:tcW w:w="4759" w:type="dxa"/>
          </w:tcPr>
          <w:p>
            <w:pPr>
              <w:jc w:val="both"/>
              <w:rPr>
                <w:rFonts w:ascii="Scala OT" w:hAnsi="Scala OT"/>
              </w:rPr>
            </w:pPr>
            <w:r>
              <w:rPr>
                <w:rFonts w:ascii="Scala OT" w:hAnsi="Scala OT"/>
              </w:rPr>
              <w:t>Q16: Behandeln Sie aktuell schwangere oder frisch entbundene COVID-19-Patientinnen auf Ihrer ITS?</w:t>
            </w:r>
          </w:p>
          <w:p>
            <w:pPr>
              <w:jc w:val="both"/>
              <w:rPr>
                <w:rFonts w:ascii="Scala OT" w:hAnsi="Scala OT"/>
              </w:rPr>
            </w:pPr>
          </w:p>
          <w:p>
            <w:pPr>
              <w:jc w:val="both"/>
              <w:rPr>
                <w:rFonts w:ascii="Scala OT" w:hAnsi="Scala OT"/>
                <w:i/>
              </w:rPr>
            </w:pPr>
            <w:r>
              <w:rPr>
                <w:rFonts w:ascii="Scala OT" w:hAnsi="Scala OT"/>
                <w:i/>
                <w:sz w:val="20"/>
              </w:rPr>
              <w:t>[Antwortmöglichkeit „ja“ oder „nein“. Default = nichts von beidem ausgewählt (NULL)]</w:t>
            </w:r>
          </w:p>
        </w:tc>
        <w:tc>
          <w:tcPr>
            <w:tcW w:w="4759" w:type="dxa"/>
          </w:tcPr>
          <w:p>
            <w:pPr>
              <w:jc w:val="both"/>
              <w:rPr>
                <w:rFonts w:ascii="Scala OT" w:hAnsi="Scala OT"/>
              </w:rPr>
            </w:pPr>
            <w:r>
              <w:rPr>
                <w:rFonts w:ascii="Scala OT" w:hAnsi="Scala OT"/>
              </w:rPr>
              <w:t>Aktuell schwangere oder frisch entbundene Patientinnen bis einschl. 28 Tage nach der Entbindung im Rahmen der Akutversorgung. Nur nachgewiesene Infektionen mit SARS-CoV-2, KEINE Verdachtsfälle.</w:t>
            </w:r>
          </w:p>
        </w:tc>
        <w:tc>
          <w:tcPr>
            <w:tcW w:w="4759" w:type="dxa"/>
          </w:tcPr>
          <w:p>
            <w:pPr>
              <w:jc w:val="both"/>
              <w:rPr>
                <w:rFonts w:ascii="Scala OT" w:hAnsi="Scala OT"/>
              </w:rPr>
            </w:pPr>
            <w:r>
              <w:rPr>
                <w:rFonts w:ascii="Scala OT" w:hAnsi="Scala OT"/>
              </w:rPr>
              <w:t>* Anteil Schwangerer Patient*innen laut aktuellen Intensivregisterzahlen verschwindend gering. Für den Zweck zum Erkennen einer Belastungs- oder Engpasslage oder der Planung von Ressourcen wird dieser Indikator vorerst nicht benötigt.</w:t>
            </w:r>
          </w:p>
          <w:p>
            <w:pPr>
              <w:jc w:val="both"/>
              <w:rPr>
                <w:rFonts w:ascii="Scala OT" w:hAnsi="Scala OT"/>
              </w:rPr>
            </w:pPr>
            <w:r>
              <w:rPr>
                <w:rFonts w:ascii="Scala OT" w:hAnsi="Scala OT"/>
              </w:rPr>
              <w:t>* Information ist für das Ziel der Lagebewertung auf ITS und Handlungssteuerung nicht direkt relevant</w:t>
            </w:r>
          </w:p>
          <w:p>
            <w:pPr>
              <w:jc w:val="both"/>
              <w:rPr>
                <w:rFonts w:ascii="Scala OT" w:hAnsi="Scala OT"/>
              </w:rPr>
            </w:pPr>
            <w:r>
              <w:rPr>
                <w:rFonts w:ascii="Scala OT" w:hAnsi="Scala OT"/>
              </w:rPr>
              <w:t xml:space="preserve">* Unter diesen Umständen kann das medizinische Personal kurzfristig entlastet werden. </w:t>
            </w:r>
          </w:p>
        </w:tc>
      </w:tr>
      <w:tr>
        <w:tc>
          <w:tcPr>
            <w:tcW w:w="14277" w:type="dxa"/>
            <w:gridSpan w:val="3"/>
          </w:tcPr>
          <w:p>
            <w:pPr>
              <w:rPr>
                <w:rFonts w:ascii="Scala OT" w:hAnsi="Scala OT"/>
              </w:rPr>
            </w:pPr>
            <w:r>
              <w:rPr>
                <w:rFonts w:ascii="Scala OT" w:hAnsi="Scala OT"/>
              </w:rPr>
              <w:t>Im Falle Q16= „ja“ , weitere Felder:</w:t>
            </w:r>
          </w:p>
        </w:tc>
      </w:tr>
      <w:tr>
        <w:tc>
          <w:tcPr>
            <w:tcW w:w="4759" w:type="dxa"/>
          </w:tcPr>
          <w:p>
            <w:pPr>
              <w:jc w:val="both"/>
              <w:rPr>
                <w:rFonts w:ascii="Scala OT" w:hAnsi="Scala OT"/>
              </w:rPr>
            </w:pPr>
            <w:r>
              <w:rPr>
                <w:rFonts w:ascii="Scala OT" w:hAnsi="Scala OT"/>
              </w:rPr>
              <w:t xml:space="preserve">Q17 </w:t>
            </w:r>
            <w:r>
              <w:rPr>
                <w:rFonts w:ascii="Scala OT" w:hAnsi="Scala OT"/>
                <w:vertAlign w:val="superscript"/>
              </w:rPr>
              <w:t>(Q16-bedingt)</w:t>
            </w:r>
            <w:r>
              <w:rPr>
                <w:rFonts w:ascii="Scala OT" w:hAnsi="Scala OT"/>
              </w:rPr>
              <w:t>: Anzahl aktuell schwangerer bzw. frisch entbundener COVID-19-Patientinnen auf Ihrer ITS</w:t>
            </w:r>
          </w:p>
        </w:tc>
        <w:tc>
          <w:tcPr>
            <w:tcW w:w="4759" w:type="dxa"/>
          </w:tcPr>
          <w:p>
            <w:pPr>
              <w:jc w:val="both"/>
              <w:rPr>
                <w:rFonts w:ascii="Scala OT" w:hAnsi="Scala OT"/>
                <w:sz w:val="20"/>
              </w:rPr>
            </w:pPr>
            <w:r>
              <w:rPr>
                <w:rFonts w:ascii="Scala OT" w:hAnsi="Scala OT"/>
                <w:sz w:val="20"/>
              </w:rPr>
              <w:t>Anzahl der aktuell schwangeren oder frisch entbundenen COVID-19-Patientinnen (in allen Intensivbereichen: Low-Care, High-Care, ECMO) im Rahmen der Akutversorgung; nur nachgewiesene Infektionen mit SARS-CoV-2, KEINE Verdachtsfälle.</w:t>
            </w:r>
          </w:p>
        </w:tc>
        <w:tc>
          <w:tcPr>
            <w:tcW w:w="4759" w:type="dxa"/>
          </w:tcPr>
          <w:p>
            <w:pPr>
              <w:jc w:val="both"/>
              <w:rPr>
                <w:rFonts w:ascii="Scala OT" w:hAnsi="Scala OT"/>
                <w:sz w:val="20"/>
              </w:rPr>
            </w:pPr>
            <w:r>
              <w:rPr>
                <w:rFonts w:ascii="Scala OT" w:hAnsi="Scala OT"/>
                <w:sz w:val="20"/>
              </w:rPr>
              <w:t>Siehe Kommentar zu Q16</w:t>
            </w:r>
          </w:p>
        </w:tc>
      </w:tr>
      <w:tr>
        <w:tc>
          <w:tcPr>
            <w:tcW w:w="4759" w:type="dxa"/>
          </w:tcPr>
          <w:p>
            <w:pPr>
              <w:jc w:val="both"/>
              <w:rPr>
                <w:rFonts w:ascii="Scala OT" w:hAnsi="Scala OT"/>
              </w:rPr>
            </w:pPr>
            <w:r>
              <w:rPr>
                <w:rFonts w:ascii="Scala OT" w:hAnsi="Scala OT"/>
              </w:rPr>
              <w:t xml:space="preserve">Q18 </w:t>
            </w:r>
            <w:r>
              <w:rPr>
                <w:rFonts w:ascii="Scala OT" w:hAnsi="Scala OT"/>
                <w:vertAlign w:val="superscript"/>
              </w:rPr>
              <w:t>(Q16-bedingt)</w:t>
            </w:r>
            <w:r>
              <w:rPr>
                <w:rFonts w:ascii="Scala OT" w:hAnsi="Scala OT"/>
              </w:rPr>
              <w:t>: Anzahl aktuell schwangerer bzw. frisch entbundener COVID-19-Patientinnen MIT Beatmung (NIV, invasiv oder ECMO)</w:t>
            </w:r>
          </w:p>
        </w:tc>
        <w:tc>
          <w:tcPr>
            <w:tcW w:w="4759" w:type="dxa"/>
          </w:tcPr>
          <w:p>
            <w:pPr>
              <w:jc w:val="both"/>
              <w:rPr>
                <w:rFonts w:ascii="Scala OT" w:hAnsi="Scala OT"/>
                <w:sz w:val="20"/>
              </w:rPr>
            </w:pPr>
            <w:r>
              <w:rPr>
                <w:rFonts w:ascii="Scala OT" w:hAnsi="Scala OT"/>
                <w:sz w:val="20"/>
              </w:rPr>
              <w:t>Anzahl aktuell beatmeter schwangerer oder frisch entbundener COVID-19-Patientinnen (ECMO, invasive oder nicht-invasive Beatmung) im Rahmen der Akutversorgung; nur nachgewiesene Infektionen mit SARS-CoV-2, keine Verdachtsfälle. Teilmenge von „Aktuell Schwangeren bzw. frisch Entbundenen"</w:t>
            </w:r>
          </w:p>
        </w:tc>
        <w:tc>
          <w:tcPr>
            <w:tcW w:w="4759" w:type="dxa"/>
          </w:tcPr>
          <w:p>
            <w:pPr>
              <w:jc w:val="both"/>
              <w:rPr>
                <w:rFonts w:ascii="Scala OT" w:hAnsi="Scala OT"/>
                <w:sz w:val="20"/>
              </w:rPr>
            </w:pPr>
            <w:r>
              <w:rPr>
                <w:rFonts w:ascii="Scala OT" w:hAnsi="Scala OT"/>
                <w:sz w:val="20"/>
              </w:rPr>
              <w:t>Siehe Kommentar zu Q16</w:t>
            </w:r>
          </w:p>
        </w:tc>
      </w:tr>
      <w:tr>
        <w:tc>
          <w:tcPr>
            <w:tcW w:w="4759" w:type="dxa"/>
          </w:tcPr>
          <w:p>
            <w:pPr>
              <w:jc w:val="both"/>
              <w:rPr>
                <w:rFonts w:ascii="Scala OT" w:hAnsi="Scala OT"/>
              </w:rPr>
            </w:pPr>
            <w:r>
              <w:rPr>
                <w:rFonts w:ascii="Scala OT" w:hAnsi="Scala OT"/>
              </w:rPr>
              <w:t xml:space="preserve">Q19 </w:t>
            </w:r>
            <w:r>
              <w:rPr>
                <w:rFonts w:ascii="Scala OT" w:hAnsi="Scala OT"/>
                <w:vertAlign w:val="superscript"/>
              </w:rPr>
              <w:t>(Q16-bedingt)</w:t>
            </w:r>
            <w:r>
              <w:rPr>
                <w:rFonts w:ascii="Scala OT" w:hAnsi="Scala OT"/>
              </w:rPr>
              <w:t>: Anzahl aktuell schwangerer bzw. frisch entbundener COVID-19-Patientinnen OHNE Beatmung (keine Beatmung oder High-Flow)</w:t>
            </w:r>
          </w:p>
        </w:tc>
        <w:tc>
          <w:tcPr>
            <w:tcW w:w="4759" w:type="dxa"/>
          </w:tcPr>
          <w:p>
            <w:pPr>
              <w:jc w:val="both"/>
              <w:rPr>
                <w:rFonts w:ascii="Scala OT" w:hAnsi="Scala OT"/>
                <w:sz w:val="20"/>
              </w:rPr>
            </w:pPr>
            <w:r>
              <w:rPr>
                <w:rFonts w:ascii="Scala OT" w:hAnsi="Scala OT"/>
                <w:sz w:val="20"/>
              </w:rPr>
              <w:t>Anzahl der aktuell schwangeren oder frisch entbundenen COVID-19-Patientinnen OHNE Beatmung im Rahmen der Akutversorgung; nur nachgewiesene Infektionen mit SARS-CoV-2, keine Verdachtsfälle. Teilmenge von „Aktuell Schwangeren bzw. frisch Entbundenen"</w:t>
            </w:r>
          </w:p>
        </w:tc>
        <w:tc>
          <w:tcPr>
            <w:tcW w:w="4759" w:type="dxa"/>
          </w:tcPr>
          <w:p>
            <w:pPr>
              <w:jc w:val="both"/>
              <w:rPr>
                <w:rFonts w:ascii="Scala OT" w:hAnsi="Scala OT"/>
                <w:sz w:val="20"/>
              </w:rPr>
            </w:pPr>
            <w:r>
              <w:rPr>
                <w:rFonts w:ascii="Scala OT" w:hAnsi="Scala OT"/>
                <w:sz w:val="20"/>
              </w:rPr>
              <w:t>Siehe Kommentar zu Q16</w:t>
            </w:r>
          </w:p>
        </w:tc>
      </w:tr>
    </w:tbl>
    <w:tbl>
      <w:tblPr>
        <w:tblW w:w="14287" w:type="dxa"/>
        <w:tblCellMar>
          <w:left w:w="70" w:type="dxa"/>
          <w:right w:w="70" w:type="dxa"/>
        </w:tblCellMar>
        <w:tblLook w:val="04A0" w:firstRow="1" w:lastRow="0" w:firstColumn="1" w:lastColumn="0" w:noHBand="0" w:noVBand="1"/>
      </w:tblPr>
      <w:tblGrid>
        <w:gridCol w:w="14287"/>
      </w:tblGrid>
      <w:tr>
        <w:trPr>
          <w:trHeight w:val="243"/>
        </w:trPr>
        <w:tc>
          <w:tcPr>
            <w:tcW w:w="14287" w:type="dxa"/>
            <w:tcBorders>
              <w:top w:val="single" w:sz="8" w:space="0" w:color="000000"/>
              <w:left w:val="nil"/>
              <w:bottom w:val="nil"/>
              <w:right w:val="nil"/>
            </w:tcBorders>
            <w:shd w:val="clear" w:color="auto" w:fill="auto"/>
            <w:vAlign w:val="center"/>
            <w:hideMark/>
          </w:tcPr>
          <w:p>
            <w:pPr>
              <w:spacing w:after="0" w:line="240" w:lineRule="auto"/>
              <w:rPr>
                <w:rFonts w:ascii="Scala OT" w:eastAsia="Times New Roman" w:hAnsi="Scala OT" w:cs="Calibri"/>
                <w:color w:val="000000"/>
                <w:sz w:val="20"/>
                <w:szCs w:val="20"/>
                <w:lang w:eastAsia="de-DE"/>
              </w:rPr>
            </w:pPr>
          </w:p>
        </w:tc>
      </w:tr>
    </w:tbl>
    <w:p>
      <w:pPr>
        <w:pStyle w:val="berschrift1"/>
        <w:rPr>
          <w:rFonts w:ascii="Scala OT" w:hAnsi="Scala OT"/>
        </w:rPr>
      </w:pPr>
      <w:r>
        <w:rPr>
          <w:rFonts w:ascii="Scala OT" w:hAnsi="Scala OT"/>
        </w:rPr>
        <w:br w:type="page"/>
      </w:r>
      <w:bookmarkStart w:id="3" w:name="_Toc112432767"/>
      <w:r>
        <w:rPr>
          <w:rFonts w:eastAsia="Times New Roman"/>
          <w:lang w:eastAsia="de-DE"/>
        </w:rPr>
        <w:lastRenderedPageBreak/>
        <w:t>Aktuelle COVID-19-Patient*innen nach Virusvarianten</w:t>
      </w:r>
      <w:bookmarkEnd w:id="3"/>
      <w:r>
        <w:rPr>
          <w:rFonts w:eastAsia="Times New Roman"/>
          <w:lang w:eastAsia="de-DE"/>
        </w:rPr>
        <w:br/>
      </w:r>
    </w:p>
    <w:p>
      <w:pPr>
        <w:rPr>
          <w:b/>
          <w:color w:val="C00000"/>
          <w:sz w:val="24"/>
          <w:lang w:eastAsia="de-DE"/>
        </w:rPr>
      </w:pPr>
      <w:r>
        <w:rPr>
          <w:b/>
          <w:color w:val="C00000"/>
          <w:sz w:val="24"/>
          <w:lang w:eastAsia="de-DE"/>
        </w:rPr>
        <w:t xml:space="preserve"> In </w:t>
      </w:r>
      <w:proofErr w:type="spellStart"/>
      <w:r>
        <w:rPr>
          <w:b/>
          <w:color w:val="C00000"/>
          <w:sz w:val="24"/>
          <w:lang w:eastAsia="de-DE"/>
        </w:rPr>
        <w:t>DiviReg</w:t>
      </w:r>
      <w:proofErr w:type="spellEnd"/>
      <w:r>
        <w:rPr>
          <w:b/>
          <w:color w:val="C00000"/>
          <w:sz w:val="24"/>
          <w:lang w:eastAsia="de-DE"/>
        </w:rPr>
        <w:t xml:space="preserve">-Verordnung enthalten:  </w:t>
      </w:r>
      <w:r>
        <w:rPr>
          <w:b/>
          <w:i/>
          <w:color w:val="C00000"/>
          <w:sz w:val="24"/>
          <w:lang w:eastAsia="de-DE"/>
        </w:rPr>
        <w:t>§1(3) 1.c)</w:t>
      </w:r>
      <w:r>
        <w:rPr>
          <w:b/>
          <w:color w:val="C00000"/>
          <w:sz w:val="24"/>
          <w:lang w:eastAsia="de-DE"/>
        </w:rPr>
        <w:t xml:space="preserve">  </w:t>
      </w:r>
    </w:p>
    <w:tbl>
      <w:tblPr>
        <w:tblStyle w:val="Tabellenraster"/>
        <w:tblW w:w="0" w:type="auto"/>
        <w:tblLook w:val="04A0" w:firstRow="1" w:lastRow="0" w:firstColumn="1" w:lastColumn="0" w:noHBand="0" w:noVBand="1"/>
      </w:tblPr>
      <w:tblGrid>
        <w:gridCol w:w="4759"/>
        <w:gridCol w:w="4759"/>
        <w:gridCol w:w="4759"/>
      </w:tblGrid>
      <w:tr>
        <w:tc>
          <w:tcPr>
            <w:tcW w:w="4759" w:type="dxa"/>
          </w:tcPr>
          <w:p>
            <w:pPr>
              <w:tabs>
                <w:tab w:val="left" w:pos="939"/>
              </w:tabs>
              <w:rPr>
                <w:rFonts w:ascii="Scala OT" w:hAnsi="Scala OT"/>
                <w:i/>
                <w:color w:val="767171" w:themeColor="background2" w:themeShade="80"/>
              </w:rPr>
            </w:pPr>
            <w:r>
              <w:rPr>
                <w:rFonts w:ascii="Scala OT" w:hAnsi="Scala OT"/>
                <w:i/>
                <w:color w:val="767171" w:themeColor="background2" w:themeShade="80"/>
              </w:rPr>
              <w:t>Textfeld-Beschreibung</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Ausfüllhinweis (Mouseover-Text):</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Grund für das Pausieren des Datenfelds:</w:t>
            </w:r>
          </w:p>
        </w:tc>
      </w:tr>
      <w:tr>
        <w:tc>
          <w:tcPr>
            <w:tcW w:w="4759" w:type="dxa"/>
          </w:tcPr>
          <w:p>
            <w:pPr>
              <w:jc w:val="both"/>
              <w:rPr>
                <w:rFonts w:ascii="Scala OT" w:hAnsi="Scala OT"/>
              </w:rPr>
            </w:pPr>
            <w:r>
              <w:rPr>
                <w:rFonts w:ascii="Scala OT" w:hAnsi="Scala OT"/>
              </w:rPr>
              <w:t xml:space="preserve">Q26: Anzahl </w:t>
            </w:r>
            <w:proofErr w:type="gramStart"/>
            <w:r>
              <w:rPr>
                <w:rFonts w:ascii="Scala OT" w:hAnsi="Scala OT"/>
              </w:rPr>
              <w:t>der aktuell intensivmedizinisch behandelten COVID-19-Patient</w:t>
            </w:r>
            <w:proofErr w:type="gramEnd"/>
            <w:r>
              <w:rPr>
                <w:rFonts w:ascii="Scala OT" w:hAnsi="Scala OT"/>
              </w:rPr>
              <w:t xml:space="preserve">*innen </w:t>
            </w:r>
            <w:r>
              <w:rPr>
                <w:rFonts w:ascii="Scala OT" w:hAnsi="Scala OT"/>
                <w:b/>
              </w:rPr>
              <w:t xml:space="preserve">mit SARS-CoV-2-Virusvarianten (Variant </w:t>
            </w:r>
            <w:proofErr w:type="spellStart"/>
            <w:r>
              <w:rPr>
                <w:rFonts w:ascii="Scala OT" w:hAnsi="Scala OT"/>
                <w:b/>
              </w:rPr>
              <w:t>of</w:t>
            </w:r>
            <w:proofErr w:type="spellEnd"/>
            <w:r>
              <w:rPr>
                <w:rFonts w:ascii="Scala OT" w:hAnsi="Scala OT"/>
                <w:b/>
              </w:rPr>
              <w:t xml:space="preserve"> </w:t>
            </w:r>
            <w:proofErr w:type="spellStart"/>
            <w:r>
              <w:rPr>
                <w:rFonts w:ascii="Scala OT" w:hAnsi="Scala OT"/>
                <w:b/>
              </w:rPr>
              <w:t>concern</w:t>
            </w:r>
            <w:proofErr w:type="spellEnd"/>
            <w:r>
              <w:rPr>
                <w:rFonts w:ascii="Scala OT" w:hAnsi="Scala OT"/>
                <w:b/>
              </w:rPr>
              <w:t xml:space="preserve"> (VOC)) (falls bekannt)</w:t>
            </w:r>
          </w:p>
        </w:tc>
        <w:tc>
          <w:tcPr>
            <w:tcW w:w="4759" w:type="dxa"/>
          </w:tcPr>
          <w:p>
            <w:pPr>
              <w:jc w:val="both"/>
              <w:rPr>
                <w:rFonts w:ascii="Scala OT" w:hAnsi="Scala OT"/>
              </w:rPr>
            </w:pPr>
            <w:r>
              <w:rPr>
                <w:rFonts w:ascii="Scala OT" w:hAnsi="Scala OT"/>
              </w:rPr>
              <w:t xml:space="preserve">Anzahl der aktuell in intensivmedizinischer Behandlung befindlicher COVID-19-Patient*innen mit einer nachgewiesenen VOC unabhängig von der Behandlung im Low- und High-Care Bereich (NIV, High-Flow, </w:t>
            </w:r>
            <w:proofErr w:type="spellStart"/>
            <w:r>
              <w:rPr>
                <w:rFonts w:ascii="Scala OT" w:hAnsi="Scala OT"/>
              </w:rPr>
              <w:t>inv</w:t>
            </w:r>
            <w:proofErr w:type="spellEnd"/>
            <w:r>
              <w:rPr>
                <w:rFonts w:ascii="Scala OT" w:hAnsi="Scala OT"/>
              </w:rPr>
              <w:t>. Beatmung etc.). Die Summe der Einträge sollte der Angabe im Feld “Aktuell COVID-19 in Behandlung” entsprechen.</w:t>
            </w:r>
          </w:p>
        </w:tc>
        <w:tc>
          <w:tcPr>
            <w:tcW w:w="4759" w:type="dxa"/>
          </w:tcPr>
          <w:p>
            <w:pPr>
              <w:jc w:val="both"/>
              <w:rPr>
                <w:rFonts w:ascii="Scala OT" w:hAnsi="Scala OT"/>
              </w:rPr>
            </w:pPr>
            <w:r>
              <w:rPr>
                <w:rFonts w:ascii="Scala OT" w:hAnsi="Scala OT"/>
              </w:rPr>
              <w:t>* Häufig werden die SARS-CoV-2-Virusvariante im intensivmedizinischen Alltag nicht bestimmt und sind damit nicht bekannt, da keine eigene Varianten-Typisierung im eigenen Haus stattfindet.</w:t>
            </w:r>
          </w:p>
          <w:p>
            <w:pPr>
              <w:jc w:val="both"/>
              <w:rPr>
                <w:rFonts w:ascii="Scala OT" w:hAnsi="Scala OT"/>
              </w:rPr>
            </w:pPr>
            <w:r>
              <w:rPr>
                <w:rFonts w:ascii="Scala OT" w:hAnsi="Scala OT"/>
              </w:rPr>
              <w:t>Siehe dabei hoher Anteil "</w:t>
            </w:r>
            <w:r>
              <w:rPr>
                <w:rFonts w:ascii="Scala OT" w:hAnsi="Scala OT"/>
                <w:i/>
              </w:rPr>
              <w:t>Unbekannt</w:t>
            </w:r>
            <w:r>
              <w:rPr>
                <w:rFonts w:ascii="Scala OT" w:hAnsi="Scala OT"/>
              </w:rPr>
              <w:t>" in den bisherigen Meldungen und damit kein aussagefähiger Erfassungswert.</w:t>
            </w:r>
          </w:p>
          <w:p>
            <w:pPr>
              <w:jc w:val="both"/>
              <w:rPr>
                <w:rFonts w:ascii="Scala OT" w:hAnsi="Scala OT"/>
              </w:rPr>
            </w:pPr>
            <w:r>
              <w:rPr>
                <w:rFonts w:ascii="Scala OT" w:hAnsi="Scala OT"/>
              </w:rPr>
              <w:t>* Nur die Trendentwicklung bei Entstehen neuer Varianten kann einen Mehrwert bieten, jedoch sind die absoluten Werte nicht nutzbar und in (langen) Phasen einer dominierenden Virusvariante ist diese Meldung quasi überflüssig.</w:t>
            </w:r>
          </w:p>
          <w:p>
            <w:pPr>
              <w:jc w:val="both"/>
              <w:rPr>
                <w:rFonts w:ascii="Scala OT" w:hAnsi="Scala OT"/>
              </w:rPr>
            </w:pPr>
            <w:r>
              <w:rPr>
                <w:rFonts w:ascii="Scala OT" w:hAnsi="Scala OT"/>
              </w:rPr>
              <w:t>* Diese Information ist für das Ziel der Lagebewertung auf ITS und Handlungssteuerung nicht direkt relevant</w:t>
            </w:r>
          </w:p>
          <w:p>
            <w:pPr>
              <w:jc w:val="both"/>
              <w:rPr>
                <w:rFonts w:ascii="Scala OT" w:hAnsi="Scala OT"/>
              </w:rPr>
            </w:pPr>
          </w:p>
          <w:p>
            <w:pPr>
              <w:jc w:val="both"/>
              <w:rPr>
                <w:rFonts w:ascii="Scala OT" w:hAnsi="Scala OT"/>
              </w:rPr>
            </w:pPr>
            <w:r>
              <w:rPr>
                <w:rFonts w:ascii="Scala OT" w:hAnsi="Scala OT"/>
              </w:rPr>
              <w:t>* Durch streichen des Datenfelds kann das medizinische Personal kurzfristig entlastet werden.</w:t>
            </w:r>
          </w:p>
        </w:tc>
      </w:tr>
    </w:tbl>
    <w:p>
      <w:pPr>
        <w:rPr>
          <w:rFonts w:ascii="Scala OT" w:eastAsia="Times New Roman" w:hAnsi="Scala OT" w:cs="Calibri"/>
          <w:b/>
          <w:bCs/>
          <w:color w:val="4472C4"/>
          <w:sz w:val="24"/>
          <w:szCs w:val="24"/>
          <w:lang w:eastAsia="de-DE"/>
        </w:rPr>
      </w:pPr>
      <w:r>
        <w:rPr>
          <w:rFonts w:ascii="Scala OT" w:eastAsia="Times New Roman" w:hAnsi="Scala OT" w:cs="Calibri"/>
          <w:b/>
          <w:bCs/>
          <w:color w:val="4472C4"/>
          <w:sz w:val="24"/>
          <w:szCs w:val="24"/>
          <w:lang w:eastAsia="de-DE"/>
        </w:rPr>
        <w:br w:type="page"/>
      </w:r>
    </w:p>
    <w:p>
      <w:pPr>
        <w:pStyle w:val="berschrift1"/>
        <w:rPr>
          <w:rFonts w:eastAsia="Times New Roman"/>
          <w:lang w:eastAsia="de-DE"/>
        </w:rPr>
      </w:pPr>
    </w:p>
    <w:p>
      <w:pPr>
        <w:pStyle w:val="berschrift1"/>
        <w:rPr>
          <w:rFonts w:eastAsia="Times New Roman"/>
          <w:lang w:eastAsia="de-DE"/>
        </w:rPr>
      </w:pPr>
      <w:bookmarkStart w:id="4" w:name="_Toc112432768"/>
      <w:r>
        <w:rPr>
          <w:rFonts w:eastAsia="Times New Roman"/>
          <w:lang w:eastAsia="de-DE"/>
        </w:rPr>
        <w:t>SARS-CoV2-Impfstatus der COVID-19 ITS-Erstaufnahmen</w:t>
      </w:r>
      <w:bookmarkEnd w:id="4"/>
    </w:p>
    <w:p>
      <w:pPr>
        <w:rPr>
          <w:rFonts w:ascii="Scala OT" w:eastAsia="Times New Roman" w:hAnsi="Scala OT" w:cs="Calibri"/>
          <w:b/>
          <w:bCs/>
          <w:color w:val="4472C4"/>
          <w:sz w:val="24"/>
          <w:szCs w:val="24"/>
          <w:lang w:eastAsia="de-DE"/>
        </w:rPr>
      </w:pPr>
    </w:p>
    <w:p>
      <w:pPr>
        <w:rPr>
          <w:rFonts w:ascii="Scala OT" w:eastAsia="Times New Roman" w:hAnsi="Scala OT" w:cs="Calibri"/>
          <w:b/>
          <w:bCs/>
          <w:color w:val="4472C4"/>
          <w:sz w:val="24"/>
          <w:szCs w:val="24"/>
          <w:lang w:eastAsia="de-DE"/>
        </w:rPr>
      </w:pPr>
      <w:r>
        <w:rPr>
          <w:b/>
          <w:color w:val="C00000"/>
          <w:sz w:val="24"/>
          <w:lang w:eastAsia="de-DE"/>
        </w:rPr>
        <w:t xml:space="preserve">In </w:t>
      </w:r>
      <w:proofErr w:type="spellStart"/>
      <w:r>
        <w:rPr>
          <w:b/>
          <w:color w:val="C00000"/>
          <w:sz w:val="24"/>
          <w:lang w:eastAsia="de-DE"/>
        </w:rPr>
        <w:t>DiviReg</w:t>
      </w:r>
      <w:proofErr w:type="spellEnd"/>
      <w:r>
        <w:rPr>
          <w:b/>
          <w:color w:val="C00000"/>
          <w:sz w:val="24"/>
          <w:lang w:eastAsia="de-DE"/>
        </w:rPr>
        <w:t xml:space="preserve">-Verordnung enthalten:  </w:t>
      </w:r>
      <w:r>
        <w:rPr>
          <w:b/>
          <w:i/>
          <w:color w:val="C00000"/>
          <w:sz w:val="24"/>
          <w:lang w:eastAsia="de-DE"/>
        </w:rPr>
        <w:t>§1(3) 1.d)</w:t>
      </w:r>
      <w:r>
        <w:rPr>
          <w:b/>
          <w:color w:val="C00000"/>
          <w:sz w:val="24"/>
          <w:lang w:eastAsia="de-DE"/>
        </w:rPr>
        <w:t xml:space="preserve">  </w:t>
      </w:r>
    </w:p>
    <w:tbl>
      <w:tblPr>
        <w:tblStyle w:val="Tabellenraster"/>
        <w:tblW w:w="0" w:type="auto"/>
        <w:tblLook w:val="04A0" w:firstRow="1" w:lastRow="0" w:firstColumn="1" w:lastColumn="0" w:noHBand="0" w:noVBand="1"/>
      </w:tblPr>
      <w:tblGrid>
        <w:gridCol w:w="4759"/>
        <w:gridCol w:w="4759"/>
        <w:gridCol w:w="4759"/>
      </w:tblGrid>
      <w:tr>
        <w:tc>
          <w:tcPr>
            <w:tcW w:w="4759" w:type="dxa"/>
          </w:tcPr>
          <w:p>
            <w:pPr>
              <w:tabs>
                <w:tab w:val="left" w:pos="939"/>
              </w:tabs>
              <w:rPr>
                <w:rFonts w:ascii="Scala OT" w:hAnsi="Scala OT"/>
                <w:i/>
                <w:color w:val="767171" w:themeColor="background2" w:themeShade="80"/>
              </w:rPr>
            </w:pPr>
            <w:r>
              <w:rPr>
                <w:rFonts w:ascii="Scala OT" w:hAnsi="Scala OT"/>
                <w:i/>
                <w:color w:val="767171" w:themeColor="background2" w:themeShade="80"/>
              </w:rPr>
              <w:t>Textfeld-Beschreibung</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Ausfüllhinweis (Mouseover-Text):</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Grund für das Pausieren des Datenfelds:</w:t>
            </w:r>
          </w:p>
        </w:tc>
      </w:tr>
      <w:tr>
        <w:tc>
          <w:tcPr>
            <w:tcW w:w="4759" w:type="dxa"/>
          </w:tcPr>
          <w:p>
            <w:pPr>
              <w:jc w:val="both"/>
              <w:rPr>
                <w:rFonts w:ascii="Scala OT" w:hAnsi="Scala OT"/>
              </w:rPr>
            </w:pPr>
            <w:r>
              <w:rPr>
                <w:rFonts w:ascii="Scala OT" w:hAnsi="Scala OT"/>
              </w:rPr>
              <w:t>Anzahl der COVID-ITS-Erstaufnahmen (aufgenommen innerhalb des gestrigen Kalendertages) mit jeweiliger Anzahl Impfungen gegen SARS-CoV-2 (0, 1, 2, 3, 4+ Impfungen und Impfstatus unbekannt)</w:t>
            </w:r>
          </w:p>
        </w:tc>
        <w:tc>
          <w:tcPr>
            <w:tcW w:w="4759" w:type="dxa"/>
          </w:tcPr>
          <w:p>
            <w:pPr>
              <w:jc w:val="both"/>
              <w:rPr>
                <w:rFonts w:ascii="Scala OT" w:hAnsi="Scala OT"/>
              </w:rPr>
            </w:pPr>
          </w:p>
        </w:tc>
        <w:tc>
          <w:tcPr>
            <w:tcW w:w="4759" w:type="dxa"/>
          </w:tcPr>
          <w:p>
            <w:pPr>
              <w:jc w:val="both"/>
              <w:rPr>
                <w:rFonts w:ascii="Scala OT" w:hAnsi="Scala OT"/>
              </w:rPr>
            </w:pPr>
            <w:r>
              <w:rPr>
                <w:rFonts w:ascii="Scala OT" w:hAnsi="Scala OT"/>
              </w:rPr>
              <w:t xml:space="preserve">* Bei der COVID-ITS-Erstaufnahme auf der Intensivstation ist die Anzahl der Impfungen der </w:t>
            </w:r>
            <w:proofErr w:type="gramStart"/>
            <w:r>
              <w:rPr>
                <w:rFonts w:ascii="Scala OT" w:hAnsi="Scala OT"/>
              </w:rPr>
              <w:t>zu behandelnden Patient</w:t>
            </w:r>
            <w:proofErr w:type="gramEnd"/>
            <w:r>
              <w:rPr>
                <w:rFonts w:ascii="Scala OT" w:hAnsi="Scala OT"/>
              </w:rPr>
              <w:t>*innen aus verschiedenen Gründen oft nicht verfügbar.</w:t>
            </w:r>
          </w:p>
          <w:p>
            <w:pPr>
              <w:jc w:val="both"/>
              <w:rPr>
                <w:rFonts w:ascii="Scala OT" w:hAnsi="Scala OT"/>
              </w:rPr>
            </w:pPr>
            <w:r>
              <w:rPr>
                <w:rFonts w:ascii="Scala OT" w:hAnsi="Scala OT"/>
              </w:rPr>
              <w:t xml:space="preserve">* Um diese Informationen herauszufinden, bedeutet dies für das medizinische Personal oft einen großen Aufwand </w:t>
            </w:r>
          </w:p>
          <w:p>
            <w:pPr>
              <w:jc w:val="both"/>
              <w:rPr>
                <w:rFonts w:ascii="Scala OT" w:hAnsi="Scala OT"/>
              </w:rPr>
            </w:pPr>
            <w:r>
              <w:rPr>
                <w:rFonts w:ascii="Scala OT" w:hAnsi="Scala OT"/>
              </w:rPr>
              <w:t>* Information ist für das Ziel der Lagebewertung auf ITS und Handlungssteuerung nicht direkt relevant</w:t>
            </w:r>
          </w:p>
          <w:p>
            <w:pPr>
              <w:jc w:val="both"/>
              <w:rPr>
                <w:rFonts w:ascii="Scala OT" w:hAnsi="Scala OT"/>
              </w:rPr>
            </w:pPr>
            <w:r>
              <w:rPr>
                <w:rFonts w:ascii="Scala OT" w:hAnsi="Scala OT"/>
              </w:rPr>
              <w:t>* Es wird anhand dieser Daten häufiger fälschlicherweise versucht die Impfeffektivität abzuschätzen und damit Fehl-Kommunikation betrieben. (Für diese Fragestellungen stehen andere Erfassungen und passende Indikatoren des RKI zu Verfügung)</w:t>
            </w:r>
          </w:p>
          <w:p>
            <w:pPr>
              <w:jc w:val="both"/>
              <w:rPr>
                <w:rFonts w:ascii="Scala OT" w:hAnsi="Scala OT"/>
              </w:rPr>
            </w:pPr>
            <w:r>
              <w:rPr>
                <w:rFonts w:ascii="Scala OT" w:hAnsi="Scala OT"/>
              </w:rPr>
              <w:t>* Durch streichen des Datenfelds kann das medizinische Personal kurzfristig entlastet werden.</w:t>
            </w:r>
          </w:p>
        </w:tc>
      </w:tr>
    </w:tbl>
    <w:p>
      <w:pPr>
        <w:rPr>
          <w:rFonts w:ascii="Scala OT" w:hAnsi="Scala OT"/>
        </w:rPr>
      </w:pPr>
    </w:p>
    <w:p>
      <w:pPr>
        <w:rPr>
          <w:rFonts w:ascii="Scala OT" w:hAnsi="Scala OT"/>
        </w:rPr>
      </w:pPr>
      <w:r>
        <w:rPr>
          <w:rFonts w:ascii="Scala OT" w:hAnsi="Scala OT"/>
        </w:rPr>
        <w:br w:type="page"/>
      </w:r>
    </w:p>
    <w:p>
      <w:pPr>
        <w:pStyle w:val="berschrift1"/>
        <w:rPr>
          <w:rFonts w:eastAsia="Times New Roman"/>
          <w:lang w:eastAsia="de-DE"/>
        </w:rPr>
      </w:pPr>
    </w:p>
    <w:p>
      <w:pPr>
        <w:pStyle w:val="berschrift1"/>
        <w:rPr>
          <w:rFonts w:eastAsia="Times New Roman"/>
          <w:lang w:eastAsia="de-DE"/>
        </w:rPr>
      </w:pPr>
      <w:bookmarkStart w:id="5" w:name="_Toc112432770"/>
      <w:r>
        <w:rPr>
          <w:rFonts w:eastAsia="Times New Roman"/>
          <w:lang w:eastAsia="de-DE"/>
        </w:rPr>
        <w:t>Verfügbarkeit Nierenersatz-Behandlung</w:t>
      </w:r>
      <w:bookmarkEnd w:id="5"/>
    </w:p>
    <w:p>
      <w:pPr>
        <w:rPr>
          <w:rFonts w:ascii="Scala OT" w:hAnsi="Scala OT"/>
          <w:color w:val="7030A0"/>
        </w:rPr>
      </w:pPr>
    </w:p>
    <w:p>
      <w:pPr>
        <w:rPr>
          <w:rFonts w:ascii="Scala OT" w:hAnsi="Scala OT"/>
          <w:color w:val="C00000"/>
        </w:rPr>
      </w:pPr>
      <w:r>
        <w:rPr>
          <w:rFonts w:ascii="Scala OT" w:hAnsi="Scala OT"/>
          <w:color w:val="C00000"/>
        </w:rPr>
        <w:t>Nicht in Verordnung enthalten! (unterliegt keiner Meldepflicht und kann in Abstimmung mit Fachgesellschaft gestrichen werden)</w:t>
      </w:r>
    </w:p>
    <w:tbl>
      <w:tblPr>
        <w:tblStyle w:val="Tabellenraster"/>
        <w:tblW w:w="0" w:type="auto"/>
        <w:tblLook w:val="04A0" w:firstRow="1" w:lastRow="0" w:firstColumn="1" w:lastColumn="0" w:noHBand="0" w:noVBand="1"/>
      </w:tblPr>
      <w:tblGrid>
        <w:gridCol w:w="4759"/>
        <w:gridCol w:w="4759"/>
        <w:gridCol w:w="4759"/>
      </w:tblGrid>
      <w:tr>
        <w:tc>
          <w:tcPr>
            <w:tcW w:w="4759" w:type="dxa"/>
          </w:tcPr>
          <w:p>
            <w:pPr>
              <w:tabs>
                <w:tab w:val="left" w:pos="939"/>
              </w:tabs>
              <w:rPr>
                <w:rFonts w:ascii="Scala OT" w:hAnsi="Scala OT"/>
                <w:i/>
                <w:color w:val="767171" w:themeColor="background2" w:themeShade="80"/>
              </w:rPr>
            </w:pPr>
            <w:r>
              <w:rPr>
                <w:rFonts w:ascii="Scala OT" w:hAnsi="Scala OT"/>
                <w:i/>
                <w:color w:val="767171" w:themeColor="background2" w:themeShade="80"/>
              </w:rPr>
              <w:t>Textfeld-Beschreibung</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Ausfüllhinweis (Mouseover-Text):</w:t>
            </w:r>
          </w:p>
        </w:tc>
        <w:tc>
          <w:tcPr>
            <w:tcW w:w="4759" w:type="dxa"/>
          </w:tcPr>
          <w:p>
            <w:pPr>
              <w:rPr>
                <w:rFonts w:ascii="Scala OT" w:hAnsi="Scala OT"/>
                <w:i/>
                <w:color w:val="767171" w:themeColor="background2" w:themeShade="80"/>
              </w:rPr>
            </w:pPr>
            <w:r>
              <w:rPr>
                <w:rFonts w:ascii="Scala OT" w:hAnsi="Scala OT"/>
                <w:i/>
                <w:color w:val="767171" w:themeColor="background2" w:themeShade="80"/>
              </w:rPr>
              <w:t>Grund für das Pausieren des Datenfelds:</w:t>
            </w:r>
          </w:p>
        </w:tc>
      </w:tr>
      <w:tr>
        <w:tc>
          <w:tcPr>
            <w:tcW w:w="4759" w:type="dxa"/>
          </w:tcPr>
          <w:p>
            <w:pPr>
              <w:jc w:val="both"/>
              <w:rPr>
                <w:rFonts w:ascii="Scala OT" w:hAnsi="Scala OT"/>
              </w:rPr>
            </w:pPr>
            <w:r>
              <w:rPr>
                <w:rFonts w:ascii="Scala OT" w:hAnsi="Scala OT"/>
              </w:rPr>
              <w:t xml:space="preserve">Q9: Wie schätzen Sie persönlich die aktuelle Situation der Kapazitäten für die </w:t>
            </w:r>
            <w:r>
              <w:rPr>
                <w:rFonts w:ascii="Scala OT" w:hAnsi="Scala OT"/>
                <w:b/>
              </w:rPr>
              <w:t>Dialyse-Behandlung</w:t>
            </w:r>
            <w:r>
              <w:rPr>
                <w:rFonts w:ascii="Scala OT" w:hAnsi="Scala OT"/>
              </w:rPr>
              <w:t xml:space="preserve"> in Ihrem Meldebereich ein?</w:t>
            </w:r>
          </w:p>
          <w:p>
            <w:pPr>
              <w:jc w:val="both"/>
              <w:rPr>
                <w:rFonts w:ascii="Scala OT" w:hAnsi="Scala OT"/>
              </w:rPr>
            </w:pPr>
          </w:p>
          <w:p>
            <w:pPr>
              <w:jc w:val="both"/>
              <w:rPr>
                <w:rFonts w:ascii="Scala OT" w:hAnsi="Scala OT"/>
              </w:rPr>
            </w:pPr>
            <w:r>
              <w:rPr>
                <w:rFonts w:ascii="Scala OT" w:hAnsi="Scala OT"/>
              </w:rPr>
              <w:t>Antwortmöglichkeiten durch Wahl der 4 Buttons:</w:t>
            </w:r>
          </w:p>
          <w:p>
            <w:pPr>
              <w:pStyle w:val="Listenabsatz"/>
              <w:numPr>
                <w:ilvl w:val="0"/>
                <w:numId w:val="1"/>
              </w:numPr>
              <w:jc w:val="both"/>
              <w:rPr>
                <w:rFonts w:ascii="Scala OT" w:hAnsi="Scala OT"/>
              </w:rPr>
            </w:pPr>
            <w:r>
              <w:rPr>
                <w:rFonts w:ascii="Scala OT" w:hAnsi="Scala OT"/>
              </w:rPr>
              <w:t>Verfügbar</w:t>
            </w:r>
          </w:p>
          <w:p>
            <w:pPr>
              <w:pStyle w:val="Listenabsatz"/>
              <w:numPr>
                <w:ilvl w:val="0"/>
                <w:numId w:val="1"/>
              </w:numPr>
              <w:jc w:val="both"/>
              <w:rPr>
                <w:rFonts w:ascii="Scala OT" w:hAnsi="Scala OT"/>
              </w:rPr>
            </w:pPr>
            <w:r>
              <w:rPr>
                <w:rFonts w:ascii="Scala OT" w:hAnsi="Scala OT"/>
              </w:rPr>
              <w:t>Begrenzt</w:t>
            </w:r>
          </w:p>
          <w:p>
            <w:pPr>
              <w:pStyle w:val="Listenabsatz"/>
              <w:numPr>
                <w:ilvl w:val="0"/>
                <w:numId w:val="1"/>
              </w:numPr>
              <w:jc w:val="both"/>
              <w:rPr>
                <w:rFonts w:ascii="Scala OT" w:hAnsi="Scala OT"/>
              </w:rPr>
            </w:pPr>
            <w:r>
              <w:rPr>
                <w:rFonts w:ascii="Scala OT" w:hAnsi="Scala OT"/>
              </w:rPr>
              <w:t>Ausgelastet</w:t>
            </w:r>
          </w:p>
          <w:p>
            <w:pPr>
              <w:pStyle w:val="Listenabsatz"/>
              <w:numPr>
                <w:ilvl w:val="0"/>
                <w:numId w:val="1"/>
              </w:numPr>
              <w:jc w:val="both"/>
              <w:rPr>
                <w:rFonts w:ascii="Scala OT" w:hAnsi="Scala OT"/>
              </w:rPr>
            </w:pPr>
            <w:r>
              <w:rPr>
                <w:rFonts w:ascii="Scala OT" w:hAnsi="Scala OT"/>
              </w:rPr>
              <w:t>Keine Angabe</w:t>
            </w:r>
          </w:p>
        </w:tc>
        <w:tc>
          <w:tcPr>
            <w:tcW w:w="4759" w:type="dxa"/>
          </w:tcPr>
          <w:p>
            <w:pPr>
              <w:jc w:val="both"/>
              <w:rPr>
                <w:rFonts w:ascii="Scala OT" w:hAnsi="Scala OT"/>
              </w:rPr>
            </w:pPr>
            <w:r>
              <w:rPr>
                <w:rFonts w:ascii="Scala OT" w:hAnsi="Scala OT"/>
              </w:rPr>
              <w:t>*Berücksichtigt werden neben Geräteverfügbarkeit auch Personalsituation, Arbeitsbelastung etc. für die Behandlung</w:t>
            </w:r>
          </w:p>
          <w:p>
            <w:pPr>
              <w:jc w:val="both"/>
              <w:rPr>
                <w:rFonts w:ascii="Scala OT" w:hAnsi="Scala OT"/>
              </w:rPr>
            </w:pPr>
          </w:p>
          <w:p>
            <w:pPr>
              <w:jc w:val="both"/>
              <w:rPr>
                <w:rFonts w:ascii="Scala OT" w:hAnsi="Scala OT"/>
              </w:rPr>
            </w:pPr>
            <w:r>
              <w:rPr>
                <w:rFonts w:ascii="Scala OT" w:hAnsi="Scala OT"/>
              </w:rPr>
              <w:t>i-Buttons zu den jeweiligen Auswahl-Buttons:</w:t>
            </w:r>
          </w:p>
          <w:p>
            <w:pPr>
              <w:jc w:val="both"/>
              <w:rPr>
                <w:rFonts w:ascii="Scala OT" w:eastAsia="Times New Roman" w:hAnsi="Scala OT" w:cstheme="minorHAnsi"/>
                <w:lang w:eastAsia="de-DE"/>
              </w:rPr>
            </w:pPr>
            <w:r>
              <w:rPr>
                <w:rFonts w:ascii="Scala OT" w:eastAsia="Times New Roman" w:hAnsi="Scala OT" w:cstheme="minorHAnsi"/>
                <w:lang w:eastAsia="de-DE"/>
              </w:rPr>
              <w:t xml:space="preserve">-  “Verfügbar”: Es können </w:t>
            </w:r>
            <w:r>
              <w:rPr>
                <w:rFonts w:ascii="Scala OT" w:eastAsia="Times New Roman" w:hAnsi="Scala OT" w:cstheme="minorHAnsi"/>
                <w:b/>
                <w:bCs/>
                <w:lang w:eastAsia="de-DE"/>
              </w:rPr>
              <w:t>noch mehr als 3</w:t>
            </w:r>
            <w:r>
              <w:rPr>
                <w:rFonts w:ascii="Scala OT" w:eastAsia="Times New Roman" w:hAnsi="Scala OT" w:cstheme="minorHAnsi"/>
                <w:lang w:eastAsia="de-DE"/>
              </w:rPr>
              <w:t xml:space="preserve"> Patient*innen </w:t>
            </w:r>
            <w:r>
              <w:rPr>
                <w:rFonts w:ascii="Scala OT" w:eastAsia="Times New Roman" w:hAnsi="Scala OT" w:cstheme="minorHAnsi"/>
                <w:b/>
                <w:bCs/>
                <w:lang w:eastAsia="de-DE"/>
              </w:rPr>
              <w:t>zusätzlich</w:t>
            </w:r>
            <w:r>
              <w:rPr>
                <w:rFonts w:ascii="Scala OT" w:eastAsia="Times New Roman" w:hAnsi="Scala OT" w:cstheme="minorHAnsi"/>
                <w:lang w:eastAsia="de-DE"/>
              </w:rPr>
              <w:t xml:space="preserve"> dialysiert werden</w:t>
            </w:r>
            <w:r>
              <w:rPr>
                <w:rFonts w:ascii="Scala OT" w:eastAsia="Times New Roman" w:hAnsi="Scala OT" w:cstheme="minorHAnsi"/>
                <w:lang w:eastAsia="de-DE"/>
              </w:rPr>
              <w:br/>
              <w:t xml:space="preserve">-  “Begrenzt”: Es können nur noch 1-3 </w:t>
            </w:r>
            <w:r>
              <w:rPr>
                <w:rFonts w:ascii="Scala OT" w:eastAsia="Times New Roman" w:hAnsi="Scala OT" w:cstheme="minorHAnsi"/>
                <w:b/>
                <w:bCs/>
                <w:lang w:eastAsia="de-DE"/>
              </w:rPr>
              <w:t>zusätzliche</w:t>
            </w:r>
            <w:r>
              <w:rPr>
                <w:rFonts w:ascii="Scala OT" w:eastAsia="Times New Roman" w:hAnsi="Scala OT" w:cstheme="minorHAnsi"/>
                <w:lang w:eastAsia="de-DE"/>
              </w:rPr>
              <w:t xml:space="preserve"> Patient*innen dialysiert werden</w:t>
            </w:r>
          </w:p>
          <w:p>
            <w:pPr>
              <w:jc w:val="both"/>
              <w:rPr>
                <w:rFonts w:ascii="Scala OT" w:eastAsia="Times New Roman" w:hAnsi="Scala OT" w:cstheme="minorHAnsi"/>
                <w:lang w:eastAsia="de-DE"/>
              </w:rPr>
            </w:pPr>
            <w:r>
              <w:rPr>
                <w:rFonts w:ascii="Scala OT" w:eastAsia="Times New Roman" w:hAnsi="Scala OT" w:cstheme="minorHAnsi"/>
                <w:lang w:eastAsia="de-DE"/>
              </w:rPr>
              <w:t xml:space="preserve">-  “Ausgelastet”: Es können </w:t>
            </w:r>
            <w:proofErr w:type="gramStart"/>
            <w:r>
              <w:rPr>
                <w:rFonts w:ascii="Scala OT" w:eastAsia="Times New Roman" w:hAnsi="Scala OT" w:cstheme="minorHAnsi"/>
                <w:b/>
                <w:bCs/>
                <w:lang w:eastAsia="de-DE"/>
              </w:rPr>
              <w:t xml:space="preserve">keine zusätzlichen </w:t>
            </w:r>
            <w:r>
              <w:rPr>
                <w:rFonts w:ascii="Scala OT" w:eastAsia="Times New Roman" w:hAnsi="Scala OT" w:cstheme="minorHAnsi"/>
                <w:lang w:eastAsia="de-DE"/>
              </w:rPr>
              <w:t>Patient</w:t>
            </w:r>
            <w:proofErr w:type="gramEnd"/>
            <w:r>
              <w:rPr>
                <w:rFonts w:ascii="Scala OT" w:eastAsia="Times New Roman" w:hAnsi="Scala OT" w:cstheme="minorHAnsi"/>
                <w:lang w:eastAsia="de-DE"/>
              </w:rPr>
              <w:t xml:space="preserve">*innen mehr zur Dialyse-Behandlung aufgenommen werden </w:t>
            </w:r>
          </w:p>
        </w:tc>
        <w:tc>
          <w:tcPr>
            <w:tcW w:w="4759" w:type="dxa"/>
          </w:tcPr>
          <w:p>
            <w:pPr>
              <w:jc w:val="both"/>
              <w:rPr>
                <w:rFonts w:ascii="Scala OT" w:hAnsi="Scala OT"/>
              </w:rPr>
            </w:pPr>
            <w:r>
              <w:rPr>
                <w:rFonts w:ascii="Scala OT" w:hAnsi="Scala OT"/>
              </w:rPr>
              <w:t xml:space="preserve">Unter Anbetracht der aktuellen pandemischen Lage kann dieses Feld vorläufig pausiert werden. </w:t>
            </w:r>
          </w:p>
          <w:p>
            <w:pPr>
              <w:jc w:val="both"/>
              <w:rPr>
                <w:rFonts w:ascii="Scala OT" w:hAnsi="Scala OT"/>
              </w:rPr>
            </w:pPr>
            <w:r>
              <w:rPr>
                <w:rFonts w:ascii="Scala OT" w:hAnsi="Scala OT"/>
              </w:rPr>
              <w:t>* Dialysepatient*innen werden zunehmend mit SARS-CoV-2-positiven Testergebnissen als Nebendiagnose in die Intensivstationen eingeliefert und weniger mit der Corona-Krankheit als Hauptdiagnose.</w:t>
            </w:r>
          </w:p>
          <w:p>
            <w:pPr>
              <w:jc w:val="both"/>
              <w:rPr>
                <w:rFonts w:ascii="Scala OT" w:hAnsi="Scala OT"/>
              </w:rPr>
            </w:pPr>
            <w:r>
              <w:rPr>
                <w:rFonts w:ascii="Scala OT" w:hAnsi="Scala OT"/>
              </w:rPr>
              <w:t>* Anders als im Jahr 2020 sind derzeit weit weniger Patient*innen betroffen.</w:t>
            </w:r>
          </w:p>
          <w:p>
            <w:pPr>
              <w:jc w:val="both"/>
              <w:rPr>
                <w:rFonts w:ascii="Scala OT" w:hAnsi="Scala OT"/>
              </w:rPr>
            </w:pPr>
            <w:r>
              <w:rPr>
                <w:rFonts w:ascii="Scala OT" w:hAnsi="Scala OT"/>
              </w:rPr>
              <w:t>* Auch in Hochphasen der Pandemie schien es zu keinem Engpass bei der Dialysebehandlung gekommen zu sein</w:t>
            </w:r>
          </w:p>
          <w:p>
            <w:pPr>
              <w:jc w:val="both"/>
              <w:rPr>
                <w:rFonts w:ascii="Scala OT" w:hAnsi="Scala OT"/>
              </w:rPr>
            </w:pPr>
            <w:r>
              <w:rPr>
                <w:rFonts w:ascii="Scala OT" w:hAnsi="Scala OT"/>
              </w:rPr>
              <w:t>* Unter diesen Umständen kann das medizinische Personal kurzfristig entlastet werden.</w:t>
            </w:r>
          </w:p>
        </w:tc>
      </w:tr>
    </w:tbl>
    <w:p>
      <w:pPr>
        <w:rPr>
          <w:rFonts w:ascii="Scala OT" w:hAnsi="Scala OT"/>
        </w:rPr>
      </w:pPr>
    </w:p>
    <w:sectPr>
      <w:pgSz w:w="16838" w:h="11906" w:orient="landscape"/>
      <w:pgMar w:top="709" w:right="141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 OT">
    <w:altName w:val="Centaur"/>
    <w:panose1 w:val="02010504040101020104"/>
    <w:charset w:val="00"/>
    <w:family w:val="auto"/>
    <w:pitch w:val="variable"/>
    <w:sig w:usb0="A00000EF" w:usb1="5000E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4478E"/>
    <w:multiLevelType w:val="hybridMultilevel"/>
    <w:tmpl w:val="9F8A08AA"/>
    <w:lvl w:ilvl="0" w:tplc="BEB6E9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FBB33-F0FF-4321-B282-A70C1E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autoRedefine/>
    <w:uiPriority w:val="39"/>
    <w:unhideWhenUsed/>
    <w:pPr>
      <w:spacing w:after="100"/>
    </w:p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798">
      <w:bodyDiv w:val="1"/>
      <w:marLeft w:val="0"/>
      <w:marRight w:val="0"/>
      <w:marTop w:val="0"/>
      <w:marBottom w:val="0"/>
      <w:divBdr>
        <w:top w:val="none" w:sz="0" w:space="0" w:color="auto"/>
        <w:left w:val="none" w:sz="0" w:space="0" w:color="auto"/>
        <w:bottom w:val="none" w:sz="0" w:space="0" w:color="auto"/>
        <w:right w:val="none" w:sz="0" w:space="0" w:color="auto"/>
      </w:divBdr>
    </w:div>
    <w:div w:id="441150982">
      <w:bodyDiv w:val="1"/>
      <w:marLeft w:val="0"/>
      <w:marRight w:val="0"/>
      <w:marTop w:val="0"/>
      <w:marBottom w:val="0"/>
      <w:divBdr>
        <w:top w:val="none" w:sz="0" w:space="0" w:color="auto"/>
        <w:left w:val="none" w:sz="0" w:space="0" w:color="auto"/>
        <w:bottom w:val="none" w:sz="0" w:space="0" w:color="auto"/>
        <w:right w:val="none" w:sz="0" w:space="0" w:color="auto"/>
      </w:divBdr>
    </w:div>
    <w:div w:id="961376450">
      <w:bodyDiv w:val="1"/>
      <w:marLeft w:val="0"/>
      <w:marRight w:val="0"/>
      <w:marTop w:val="0"/>
      <w:marBottom w:val="0"/>
      <w:divBdr>
        <w:top w:val="none" w:sz="0" w:space="0" w:color="auto"/>
        <w:left w:val="none" w:sz="0" w:space="0" w:color="auto"/>
        <w:bottom w:val="none" w:sz="0" w:space="0" w:color="auto"/>
        <w:right w:val="none" w:sz="0" w:space="0" w:color="auto"/>
      </w:divBdr>
    </w:div>
    <w:div w:id="1005279522">
      <w:bodyDiv w:val="1"/>
      <w:marLeft w:val="0"/>
      <w:marRight w:val="0"/>
      <w:marTop w:val="0"/>
      <w:marBottom w:val="0"/>
      <w:divBdr>
        <w:top w:val="none" w:sz="0" w:space="0" w:color="auto"/>
        <w:left w:val="none" w:sz="0" w:space="0" w:color="auto"/>
        <w:bottom w:val="none" w:sz="0" w:space="0" w:color="auto"/>
        <w:right w:val="none" w:sz="0" w:space="0" w:color="auto"/>
      </w:divBdr>
    </w:div>
    <w:div w:id="1024136726">
      <w:bodyDiv w:val="1"/>
      <w:marLeft w:val="0"/>
      <w:marRight w:val="0"/>
      <w:marTop w:val="0"/>
      <w:marBottom w:val="0"/>
      <w:divBdr>
        <w:top w:val="none" w:sz="0" w:space="0" w:color="auto"/>
        <w:left w:val="none" w:sz="0" w:space="0" w:color="auto"/>
        <w:bottom w:val="none" w:sz="0" w:space="0" w:color="auto"/>
        <w:right w:val="none" w:sz="0" w:space="0" w:color="auto"/>
      </w:divBdr>
    </w:div>
    <w:div w:id="1138767609">
      <w:bodyDiv w:val="1"/>
      <w:marLeft w:val="0"/>
      <w:marRight w:val="0"/>
      <w:marTop w:val="0"/>
      <w:marBottom w:val="0"/>
      <w:divBdr>
        <w:top w:val="none" w:sz="0" w:space="0" w:color="auto"/>
        <w:left w:val="none" w:sz="0" w:space="0" w:color="auto"/>
        <w:bottom w:val="none" w:sz="0" w:space="0" w:color="auto"/>
        <w:right w:val="none" w:sz="0" w:space="0" w:color="auto"/>
      </w:divBdr>
    </w:div>
    <w:div w:id="1160199771">
      <w:bodyDiv w:val="1"/>
      <w:marLeft w:val="0"/>
      <w:marRight w:val="0"/>
      <w:marTop w:val="0"/>
      <w:marBottom w:val="0"/>
      <w:divBdr>
        <w:top w:val="none" w:sz="0" w:space="0" w:color="auto"/>
        <w:left w:val="none" w:sz="0" w:space="0" w:color="auto"/>
        <w:bottom w:val="none" w:sz="0" w:space="0" w:color="auto"/>
        <w:right w:val="none" w:sz="0" w:space="0" w:color="auto"/>
      </w:divBdr>
    </w:div>
    <w:div w:id="1444569376">
      <w:bodyDiv w:val="1"/>
      <w:marLeft w:val="0"/>
      <w:marRight w:val="0"/>
      <w:marTop w:val="0"/>
      <w:marBottom w:val="0"/>
      <w:divBdr>
        <w:top w:val="none" w:sz="0" w:space="0" w:color="auto"/>
        <w:left w:val="none" w:sz="0" w:space="0" w:color="auto"/>
        <w:bottom w:val="none" w:sz="0" w:space="0" w:color="auto"/>
        <w:right w:val="none" w:sz="0" w:space="0" w:color="auto"/>
      </w:divBdr>
    </w:div>
    <w:div w:id="1545830391">
      <w:bodyDiv w:val="1"/>
      <w:marLeft w:val="0"/>
      <w:marRight w:val="0"/>
      <w:marTop w:val="0"/>
      <w:marBottom w:val="0"/>
      <w:divBdr>
        <w:top w:val="none" w:sz="0" w:space="0" w:color="auto"/>
        <w:left w:val="none" w:sz="0" w:space="0" w:color="auto"/>
        <w:bottom w:val="none" w:sz="0" w:space="0" w:color="auto"/>
        <w:right w:val="none" w:sz="0" w:space="0" w:color="auto"/>
      </w:divBdr>
    </w:div>
    <w:div w:id="1884631032">
      <w:bodyDiv w:val="1"/>
      <w:marLeft w:val="0"/>
      <w:marRight w:val="0"/>
      <w:marTop w:val="0"/>
      <w:marBottom w:val="0"/>
      <w:divBdr>
        <w:top w:val="none" w:sz="0" w:space="0" w:color="auto"/>
        <w:left w:val="none" w:sz="0" w:space="0" w:color="auto"/>
        <w:bottom w:val="none" w:sz="0" w:space="0" w:color="auto"/>
        <w:right w:val="none" w:sz="0" w:space="0" w:color="auto"/>
      </w:divBdr>
    </w:div>
    <w:div w:id="1932083991">
      <w:bodyDiv w:val="1"/>
      <w:marLeft w:val="0"/>
      <w:marRight w:val="0"/>
      <w:marTop w:val="0"/>
      <w:marBottom w:val="0"/>
      <w:divBdr>
        <w:top w:val="none" w:sz="0" w:space="0" w:color="auto"/>
        <w:left w:val="none" w:sz="0" w:space="0" w:color="auto"/>
        <w:bottom w:val="none" w:sz="0" w:space="0" w:color="auto"/>
        <w:right w:val="none" w:sz="0" w:space="0" w:color="auto"/>
      </w:divBdr>
    </w:div>
    <w:div w:id="1978562079">
      <w:bodyDiv w:val="1"/>
      <w:marLeft w:val="0"/>
      <w:marRight w:val="0"/>
      <w:marTop w:val="0"/>
      <w:marBottom w:val="0"/>
      <w:divBdr>
        <w:top w:val="none" w:sz="0" w:space="0" w:color="auto"/>
        <w:left w:val="none" w:sz="0" w:space="0" w:color="auto"/>
        <w:bottom w:val="none" w:sz="0" w:space="0" w:color="auto"/>
        <w:right w:val="none" w:sz="0" w:space="0" w:color="auto"/>
      </w:divBdr>
    </w:div>
    <w:div w:id="21006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1421</Words>
  <Characters>8959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Brose, Sally</dc:creator>
  <cp:keywords/>
  <dc:description/>
  <cp:lastModifiedBy>Fischer, Martina</cp:lastModifiedBy>
  <cp:revision>8</cp:revision>
  <cp:lastPrinted>2022-08-30T11:07:00Z</cp:lastPrinted>
  <dcterms:created xsi:type="dcterms:W3CDTF">2022-08-31T17:03:00Z</dcterms:created>
  <dcterms:modified xsi:type="dcterms:W3CDTF">2022-08-31T17:13:00Z</dcterms:modified>
</cp:coreProperties>
</file>