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spacing w:before="120"/>
      </w:pPr>
      <w:r>
        <w:t>Agenda Lage-AG-Sitzung „</w:t>
      </w:r>
      <w:r>
        <w:rPr>
          <w:highlight w:val="lightGray"/>
        </w:rPr>
        <w:t>Neuartiges Coronavirus (COVID-19)</w:t>
      </w:r>
      <w:r>
        <w:t>“</w:t>
      </w:r>
    </w:p>
    <w:p/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rPr>
          <w:b/>
          <w:i/>
          <w:sz w:val="22"/>
        </w:rPr>
      </w:pPr>
      <w:r>
        <w:rPr>
          <w:b/>
          <w:i/>
          <w:sz w:val="22"/>
        </w:rPr>
        <w:t>Die „COVID-19-Lage-AG</w:t>
      </w:r>
      <w:proofErr w:type="gramStart"/>
      <w:r>
        <w:rPr>
          <w:b/>
          <w:i/>
          <w:sz w:val="22"/>
        </w:rPr>
        <w:t>“  wird</w:t>
      </w:r>
      <w:proofErr w:type="gramEnd"/>
      <w:r>
        <w:rPr>
          <w:b/>
          <w:i/>
          <w:sz w:val="22"/>
        </w:rPr>
        <w:t xml:space="preserve"> einberufen, um strategische Entscheidungen der Krisenreaktion zu treffen. Sie tritt in regelmäßigen Abständen zusammen. 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i/>
          <w:sz w:val="22"/>
        </w:rPr>
      </w:pPr>
      <w:r>
        <w:rPr>
          <w:b/>
          <w:i/>
          <w:sz w:val="22"/>
        </w:rPr>
        <w:t>Lage: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sdt>
        <w:sdtPr>
          <w:rPr>
            <w:i/>
            <w:sz w:val="22"/>
          </w:rPr>
          <w:id w:val="334350100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Neuartiges Coronavirus (COVID-19)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i/>
          <w:sz w:val="22"/>
        </w:rPr>
      </w:pPr>
      <w:r>
        <w:rPr>
          <w:b/>
          <w:i/>
          <w:sz w:val="22"/>
        </w:rPr>
        <w:t>Datum, Uhrzeit: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sdt>
        <w:sdtPr>
          <w:rPr>
            <w:i/>
            <w:sz w:val="22"/>
          </w:rPr>
          <w:id w:val="2096439265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21.09.2022; 11:00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rPr>
          <w:b/>
          <w:i/>
          <w:sz w:val="22"/>
        </w:rPr>
      </w:pPr>
      <w:r>
        <w:rPr>
          <w:b/>
          <w:i/>
          <w:sz w:val="22"/>
        </w:rPr>
        <w:t>Sitzungsort:</w:t>
      </w:r>
      <w:r>
        <w:rPr>
          <w:b/>
          <w:i/>
          <w:sz w:val="22"/>
        </w:rPr>
        <w:tab/>
        <w:t xml:space="preserve"> </w:t>
      </w:r>
      <w:r>
        <w:rPr>
          <w:b/>
          <w:i/>
          <w:sz w:val="22"/>
        </w:rPr>
        <w:tab/>
      </w:r>
      <w:sdt>
        <w:sdtPr>
          <w:rPr>
            <w:b/>
            <w:i/>
            <w:sz w:val="22"/>
          </w:rPr>
          <w:id w:val="1811592494"/>
          <w:placeholder>
            <w:docPart w:val="DefaultPlaceholder_1082065158"/>
          </w:placeholder>
        </w:sdtPr>
        <w:sdtContent>
          <w:r>
            <w:rPr>
              <w:b/>
              <w:i/>
              <w:sz w:val="22"/>
            </w:rPr>
            <w:t xml:space="preserve">RKI, </w:t>
          </w:r>
          <w:r>
            <w:rPr>
              <w:i/>
              <w:sz w:val="22"/>
              <w:szCs w:val="22"/>
            </w:rPr>
            <w:t>Virtueller Konferenzraum WebEx</w:t>
          </w:r>
        </w:sdtContent>
      </w:sdt>
      <w:r>
        <w:rPr>
          <w:b/>
          <w:i/>
          <w:sz w:val="22"/>
        </w:rPr>
        <w:t xml:space="preserve">, 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60"/>
        <w:ind w:firstLine="720"/>
        <w:rPr>
          <w:i/>
          <w:sz w:val="22"/>
        </w:rPr>
      </w:pPr>
      <w:r>
        <w:rPr>
          <w:i/>
          <w:sz w:val="22"/>
        </w:rPr>
        <w:t xml:space="preserve">                             Gastgeber-</w:t>
      </w:r>
      <w:proofErr w:type="spellStart"/>
      <w:r>
        <w:rPr>
          <w:i/>
          <w:sz w:val="22"/>
        </w:rPr>
        <w:t>Kennummer</w:t>
      </w:r>
      <w:proofErr w:type="spellEnd"/>
      <w:r>
        <w:rPr>
          <w:i/>
          <w:sz w:val="22"/>
        </w:rPr>
        <w:t xml:space="preserve"> 272449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0"/>
        <w:ind w:left="2126" w:hanging="2126"/>
        <w:rPr>
          <w:i/>
          <w:sz w:val="22"/>
        </w:rPr>
      </w:pPr>
      <w:r>
        <w:rPr>
          <w:b/>
          <w:i/>
          <w:sz w:val="22"/>
        </w:rPr>
        <w:t>Teilnehmende:</w:t>
      </w:r>
      <w:r>
        <w:rPr>
          <w:b/>
          <w:i/>
          <w:sz w:val="22"/>
        </w:rPr>
        <w:tab/>
        <w:t xml:space="preserve"> </w:t>
      </w:r>
      <w:sdt>
        <w:sdtPr>
          <w:rPr>
            <w:b/>
            <w:i/>
            <w:sz w:val="22"/>
          </w:rPr>
          <w:id w:val="285929693"/>
          <w:placeholder>
            <w:docPart w:val="DefaultPlaceholder_1082065158"/>
          </w:placeholder>
        </w:sdtPr>
        <w:sdtContent>
          <w:r>
            <w:rPr>
              <w:b/>
              <w:i/>
              <w:sz w:val="22"/>
            </w:rPr>
            <w:t>FG14, FG17, AL1, AL2, FG</w:t>
          </w:r>
          <w:proofErr w:type="gramStart"/>
          <w:r>
            <w:rPr>
              <w:b/>
              <w:i/>
              <w:sz w:val="22"/>
            </w:rPr>
            <w:t>31,  FG</w:t>
          </w:r>
          <w:proofErr w:type="gramEnd"/>
          <w:r>
            <w:rPr>
              <w:b/>
              <w:i/>
              <w:sz w:val="22"/>
            </w:rPr>
            <w:t>32, FG33, FG34, FG36, FG37, AL3,  ZBS1, ZBS7, ZBS-L, P1, P4, INIG, ZIG-L, MF1, MF2, MF4, Pressestelle, VPräs, Präs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after="0"/>
        <w:ind w:left="2126" w:hanging="2126"/>
        <w:rPr>
          <w:i/>
          <w:sz w:val="22"/>
        </w:rPr>
      </w:pPr>
    </w:p>
    <w:p>
      <w:pPr>
        <w:pStyle w:val="berschrift2"/>
      </w:pPr>
      <w:r>
        <w:t xml:space="preserve">Agenda: </w:t>
      </w:r>
    </w:p>
    <w:p>
      <w:pPr>
        <w:rPr>
          <w:sz w:val="22"/>
        </w:rPr>
      </w:pPr>
    </w:p>
    <w:tbl>
      <w:tblPr>
        <w:tblStyle w:val="Tabellenraster"/>
        <w:tblW w:w="8901" w:type="dxa"/>
        <w:tblLook w:val="00A0" w:firstRow="1" w:lastRow="0" w:firstColumn="1" w:lastColumn="0" w:noHBand="0" w:noVBand="0"/>
      </w:tblPr>
      <w:tblGrid>
        <w:gridCol w:w="684"/>
        <w:gridCol w:w="6408"/>
        <w:gridCol w:w="1809"/>
      </w:tblGrid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TOP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Beitrag/Thema </w:t>
            </w:r>
            <w:r>
              <w:t>(Vorträge: max. 5 Folien bzw. 5 Min; Ausnahme: Vorträge 3-5: je max. 8 Folien, 8 Min)</w:t>
            </w:r>
          </w:p>
        </w:tc>
        <w:tc>
          <w:tcPr>
            <w:tcW w:w="1809" w:type="dxa"/>
          </w:tcPr>
          <w:p>
            <w:pPr>
              <w:rPr>
                <w:b/>
              </w:rPr>
            </w:pPr>
            <w:r>
              <w:rPr>
                <w:b/>
              </w:rPr>
              <w:t>eingebracht von</w:t>
            </w:r>
          </w:p>
        </w:tc>
      </w:tr>
      <w:tr>
        <w:tc>
          <w:tcPr>
            <w:tcW w:w="684" w:type="dxa"/>
          </w:tcPr>
          <w:p>
            <w:r>
              <w:t>1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Aktuelle Lage 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  <w:r>
              <w:t xml:space="preserve">International </w:t>
            </w:r>
          </w:p>
          <w:p>
            <w:pPr>
              <w:pStyle w:val="Listenabsatz"/>
              <w:numPr>
                <w:ilvl w:val="1"/>
                <w:numId w:val="18"/>
              </w:numPr>
            </w:pPr>
            <w:r>
              <w:t>Fälle, Ausbreitung</w:t>
            </w:r>
          </w:p>
          <w:p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t xml:space="preserve">National </w:t>
            </w:r>
          </w:p>
          <w:p>
            <w:pPr>
              <w:pStyle w:val="Listenabsatz"/>
              <w:numPr>
                <w:ilvl w:val="1"/>
                <w:numId w:val="17"/>
              </w:numPr>
            </w:pPr>
            <w:r>
              <w:t xml:space="preserve">Fallzahlen/Todesfälle </w:t>
            </w:r>
          </w:p>
          <w:p>
            <w:pPr>
              <w:pStyle w:val="Listenabsatz"/>
              <w:numPr>
                <w:ilvl w:val="1"/>
                <w:numId w:val="17"/>
              </w:numPr>
              <w:spacing w:after="200"/>
              <w:rPr>
                <w:b/>
                <w:i/>
                <w:color w:val="C2D69B" w:themeColor="accent3" w:themeTint="99"/>
                <w:sz w:val="20"/>
              </w:rPr>
            </w:pPr>
            <w:r>
              <w:t>ITS-Belegung und Spock (14-tägig)</w:t>
            </w:r>
          </w:p>
          <w:p>
            <w:pPr>
              <w:pStyle w:val="Listenabsatz"/>
              <w:numPr>
                <w:ilvl w:val="1"/>
                <w:numId w:val="17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Syndrom</w:t>
            </w:r>
            <w:proofErr w:type="spellEnd"/>
            <w:r>
              <w:rPr>
                <w:lang w:val="fr-FR"/>
              </w:rPr>
              <w:t xml:space="preserve">. + </w:t>
            </w:r>
            <w:proofErr w:type="spellStart"/>
            <w:r>
              <w:rPr>
                <w:lang w:val="fr-FR"/>
              </w:rPr>
              <w:t>virol</w:t>
            </w:r>
            <w:proofErr w:type="spellEnd"/>
            <w:r>
              <w:rPr>
                <w:lang w:val="fr-FR"/>
              </w:rPr>
              <w:t xml:space="preserve">.  Surveillance </w:t>
            </w:r>
          </w:p>
          <w:p>
            <w:pPr>
              <w:pStyle w:val="Listenabsatz"/>
              <w:numPr>
                <w:ilvl w:val="1"/>
                <w:numId w:val="17"/>
              </w:numPr>
              <w:rPr>
                <w:i/>
              </w:rPr>
            </w:pPr>
            <w:r>
              <w:t xml:space="preserve">Testkapazität, Testungen, ARS </w:t>
            </w:r>
          </w:p>
          <w:p>
            <w:pPr>
              <w:pStyle w:val="Listenabsatz"/>
              <w:numPr>
                <w:ilvl w:val="1"/>
                <w:numId w:val="17"/>
              </w:numPr>
              <w:rPr>
                <w:b/>
                <w:i/>
                <w:color w:val="C2D69B" w:themeColor="accent3" w:themeTint="99"/>
                <w:sz w:val="20"/>
              </w:rPr>
            </w:pPr>
            <w:r>
              <w:t xml:space="preserve">Molekulare Surveillance, VOC </w:t>
            </w:r>
          </w:p>
          <w:p>
            <w:pPr>
              <w:pStyle w:val="Listenabsatz"/>
              <w:numPr>
                <w:ilvl w:val="1"/>
                <w:numId w:val="17"/>
              </w:numPr>
              <w:spacing w:after="200"/>
            </w:pPr>
            <w:r>
              <w:t>Modellierungen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  <w:r>
              <w:t>Risikobewertung von Schwangerschaft (Problem der Tätigkeitsverbote für Lehrerinnen am Tag der Bekanntgabe)</w:t>
            </w:r>
          </w:p>
        </w:tc>
        <w:tc>
          <w:tcPr>
            <w:tcW w:w="1809" w:type="dxa"/>
          </w:tcPr>
          <w:p/>
          <w:p/>
          <w:p>
            <w:r>
              <w:t>ZIG1</w:t>
            </w:r>
          </w:p>
          <w:p>
            <w:r>
              <w:br/>
              <w:t>FG32</w:t>
            </w:r>
          </w:p>
          <w:p>
            <w:r>
              <w:t>FG37, AL3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>FG36, MF1/MF2</w:t>
            </w:r>
          </w:p>
          <w:p>
            <w:r>
              <w:t>FG36, FG17</w:t>
            </w:r>
          </w:p>
          <w:p>
            <w:r>
              <w:t>MF4</w:t>
            </w:r>
            <w:r>
              <w:br/>
              <w:t>P4</w:t>
            </w:r>
          </w:p>
          <w:p>
            <w:bookmarkStart w:id="0" w:name="_GoBack"/>
            <w:bookmarkEnd w:id="0"/>
          </w:p>
        </w:tc>
      </w:tr>
      <w:tr>
        <w:tc>
          <w:tcPr>
            <w:tcW w:w="684" w:type="dxa"/>
          </w:tcPr>
          <w:p>
            <w:r>
              <w:t>2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Wichtige Punkte für den Wochenbericht</w:t>
            </w:r>
          </w:p>
          <w:p>
            <w:pPr>
              <w:pStyle w:val="Listenabsatz"/>
              <w:numPr>
                <w:ilvl w:val="0"/>
                <w:numId w:val="12"/>
              </w:numPr>
            </w:pPr>
          </w:p>
        </w:tc>
        <w:tc>
          <w:tcPr>
            <w:tcW w:w="1809" w:type="dxa"/>
          </w:tcPr>
          <w:p>
            <w:r>
              <w:t>Alle</w:t>
            </w:r>
          </w:p>
        </w:tc>
      </w:tr>
      <w:tr>
        <w:tc>
          <w:tcPr>
            <w:tcW w:w="684" w:type="dxa"/>
          </w:tcPr>
          <w:p>
            <w:r>
              <w:t>3</w:t>
            </w:r>
          </w:p>
        </w:tc>
        <w:tc>
          <w:tcPr>
            <w:tcW w:w="6408" w:type="dxa"/>
          </w:tcPr>
          <w:p>
            <w:pPr>
              <w:rPr>
                <w:b/>
                <w:i/>
                <w:color w:val="8DB3E2" w:themeColor="text2" w:themeTint="66"/>
              </w:rPr>
            </w:pPr>
            <w:r>
              <w:rPr>
                <w:b/>
              </w:rPr>
              <w:t xml:space="preserve">Update Impfen </w:t>
            </w:r>
          </w:p>
          <w:p>
            <w:pPr>
              <w:pStyle w:val="Listenabsatz"/>
              <w:numPr>
                <w:ilvl w:val="0"/>
                <w:numId w:val="12"/>
              </w:numPr>
            </w:pPr>
          </w:p>
        </w:tc>
        <w:tc>
          <w:tcPr>
            <w:tcW w:w="1809" w:type="dxa"/>
          </w:tcPr>
          <w:p>
            <w:r>
              <w:t>FG 33</w:t>
            </w:r>
          </w:p>
        </w:tc>
      </w:tr>
      <w:tr>
        <w:tc>
          <w:tcPr>
            <w:tcW w:w="684" w:type="dxa"/>
          </w:tcPr>
          <w:p>
            <w:r>
              <w:t>4</w:t>
            </w:r>
          </w:p>
        </w:tc>
        <w:tc>
          <w:tcPr>
            <w:tcW w:w="6408" w:type="dxa"/>
          </w:tcPr>
          <w:p>
            <w:pPr>
              <w:rPr>
                <w:b/>
                <w:i/>
                <w:color w:val="8DB3E2" w:themeColor="text2" w:themeTint="66"/>
              </w:rPr>
            </w:pPr>
            <w:r>
              <w:rPr>
                <w:b/>
              </w:rPr>
              <w:t xml:space="preserve">Internationales </w:t>
            </w:r>
          </w:p>
          <w:p>
            <w:pPr>
              <w:pStyle w:val="Listenabsatz"/>
              <w:numPr>
                <w:ilvl w:val="0"/>
                <w:numId w:val="12"/>
              </w:numPr>
            </w:pPr>
          </w:p>
        </w:tc>
        <w:tc>
          <w:tcPr>
            <w:tcW w:w="1809" w:type="dxa"/>
          </w:tcPr>
          <w:p>
            <w:r>
              <w:t>ZIG</w:t>
            </w:r>
          </w:p>
        </w:tc>
      </w:tr>
      <w:tr>
        <w:tc>
          <w:tcPr>
            <w:tcW w:w="684" w:type="dxa"/>
          </w:tcPr>
          <w:p>
            <w:r>
              <w:t>5</w:t>
            </w:r>
          </w:p>
        </w:tc>
        <w:tc>
          <w:tcPr>
            <w:tcW w:w="6408" w:type="dxa"/>
          </w:tcPr>
          <w:p>
            <w:pPr>
              <w:rPr>
                <w:b/>
                <w:i/>
                <w:color w:val="00B050"/>
                <w:sz w:val="20"/>
              </w:rPr>
            </w:pPr>
            <w:r>
              <w:rPr>
                <w:b/>
              </w:rPr>
              <w:t xml:space="preserve">Update Digitale Projekte </w:t>
            </w:r>
          </w:p>
          <w:p>
            <w:pPr>
              <w:pStyle w:val="Listenabsatz"/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1809" w:type="dxa"/>
          </w:tcPr>
          <w:p>
            <w:r>
              <w:t>Schmich</w:t>
            </w:r>
          </w:p>
        </w:tc>
      </w:tr>
      <w:tr>
        <w:tc>
          <w:tcPr>
            <w:tcW w:w="684" w:type="dxa"/>
          </w:tcPr>
          <w:p>
            <w:r>
              <w:t>6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Daten aus der Gesundheitsberichterstattung</w:t>
            </w:r>
          </w:p>
          <w:p>
            <w:pPr>
              <w:pStyle w:val="Listenabsatz"/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1809" w:type="dxa"/>
          </w:tcPr>
          <w:p>
            <w:r>
              <w:t>Abt. 2</w:t>
            </w:r>
          </w:p>
        </w:tc>
      </w:tr>
      <w:tr>
        <w:trPr>
          <w:trHeight w:val="319"/>
        </w:trPr>
        <w:tc>
          <w:tcPr>
            <w:tcW w:w="684" w:type="dxa"/>
          </w:tcPr>
          <w:p>
            <w:r>
              <w:t>7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Aktuelle Risikobewertung</w:t>
            </w:r>
          </w:p>
          <w:p>
            <w:pPr>
              <w:pStyle w:val="Listenabsatz"/>
              <w:numPr>
                <w:ilvl w:val="0"/>
                <w:numId w:val="11"/>
              </w:numPr>
            </w:pPr>
          </w:p>
        </w:tc>
        <w:tc>
          <w:tcPr>
            <w:tcW w:w="1809" w:type="dxa"/>
          </w:tcPr>
          <w:p>
            <w:r>
              <w:t>alle</w:t>
            </w:r>
          </w:p>
        </w:tc>
      </w:tr>
      <w:tr>
        <w:trPr>
          <w:trHeight w:val="319"/>
        </w:trPr>
        <w:tc>
          <w:tcPr>
            <w:tcW w:w="684" w:type="dxa"/>
          </w:tcPr>
          <w:p>
            <w:r>
              <w:t>8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Expertenbeirat</w:t>
            </w:r>
          </w:p>
        </w:tc>
        <w:tc>
          <w:tcPr>
            <w:tcW w:w="1809" w:type="dxa"/>
          </w:tcPr>
          <w:p>
            <w:r>
              <w:t>Wieler</w:t>
            </w:r>
          </w:p>
        </w:tc>
      </w:tr>
      <w:tr>
        <w:tc>
          <w:tcPr>
            <w:tcW w:w="684" w:type="dxa"/>
          </w:tcPr>
          <w:p>
            <w:r>
              <w:t>9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Kommunikation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09" w:type="dxa"/>
          </w:tcPr>
          <w:p>
            <w:r>
              <w:t>BZgA</w:t>
            </w:r>
          </w:p>
          <w:p>
            <w:r>
              <w:t>Presse, P1</w:t>
            </w:r>
          </w:p>
        </w:tc>
      </w:tr>
      <w:tr>
        <w:tc>
          <w:tcPr>
            <w:tcW w:w="684" w:type="dxa"/>
          </w:tcPr>
          <w:p>
            <w:r>
              <w:lastRenderedPageBreak/>
              <w:t>10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Strategie Fragen</w:t>
            </w:r>
          </w:p>
          <w:p>
            <w:pPr>
              <w:pStyle w:val="Listenabsatz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Allgemein</w:t>
            </w:r>
          </w:p>
          <w:p>
            <w:pPr>
              <w:pStyle w:val="Listenabsatz"/>
              <w:numPr>
                <w:ilvl w:val="0"/>
                <w:numId w:val="15"/>
              </w:numPr>
              <w:rPr>
                <w:b/>
              </w:rPr>
            </w:pPr>
          </w:p>
          <w:p>
            <w:pPr>
              <w:pStyle w:val="Listenabsatz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RKI-intern</w:t>
            </w:r>
          </w:p>
          <w:p>
            <w:pPr>
              <w:pStyle w:val="Listenabsatz"/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1809" w:type="dxa"/>
          </w:tcPr>
          <w:p>
            <w:r>
              <w:t>Alle</w:t>
            </w:r>
          </w:p>
          <w:p/>
          <w:p/>
        </w:tc>
      </w:tr>
      <w:tr>
        <w:tc>
          <w:tcPr>
            <w:tcW w:w="684" w:type="dxa"/>
          </w:tcPr>
          <w:p>
            <w:r>
              <w:t>11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Dokumente 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09" w:type="dxa"/>
          </w:tcPr>
          <w:p>
            <w:r>
              <w:t>Alle</w:t>
            </w:r>
          </w:p>
          <w:p/>
        </w:tc>
      </w:tr>
      <w:tr>
        <w:tc>
          <w:tcPr>
            <w:tcW w:w="684" w:type="dxa"/>
          </w:tcPr>
          <w:p>
            <w:r>
              <w:t>12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Labordiagnostik 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09" w:type="dxa"/>
          </w:tcPr>
          <w:p>
            <w:r>
              <w:t>FG17/ZBS1</w:t>
            </w:r>
          </w:p>
        </w:tc>
      </w:tr>
      <w:tr>
        <w:tc>
          <w:tcPr>
            <w:tcW w:w="684" w:type="dxa"/>
          </w:tcPr>
          <w:p>
            <w:r>
              <w:t>13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Klinisches Management/</w:t>
            </w:r>
            <w:proofErr w:type="spellStart"/>
            <w:r>
              <w:rPr>
                <w:b/>
              </w:rPr>
              <w:t>Verlegemanagement</w:t>
            </w:r>
            <w:proofErr w:type="spellEnd"/>
            <w:r>
              <w:rPr>
                <w:b/>
              </w:rPr>
              <w:t xml:space="preserve">/ Entlassungsmanagement       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09" w:type="dxa"/>
          </w:tcPr>
          <w:p>
            <w:r>
              <w:t>ZBS7</w:t>
            </w:r>
          </w:p>
        </w:tc>
      </w:tr>
      <w:tr>
        <w:tc>
          <w:tcPr>
            <w:tcW w:w="684" w:type="dxa"/>
          </w:tcPr>
          <w:p>
            <w:r>
              <w:t>14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Maßnahmen zum Infektionsschutz </w:t>
            </w:r>
          </w:p>
          <w:p>
            <w:pPr>
              <w:pStyle w:val="Listenabsatz"/>
              <w:numPr>
                <w:ilvl w:val="0"/>
                <w:numId w:val="5"/>
              </w:numPr>
            </w:pPr>
            <w:r>
              <w:t>"Schutzmaßnahmen in den Schulen" (kommende S3-Richtlinie als Grundlage für die Positionierung des RKI)</w:t>
            </w:r>
          </w:p>
        </w:tc>
        <w:tc>
          <w:tcPr>
            <w:tcW w:w="1809" w:type="dxa"/>
          </w:tcPr>
          <w:p>
            <w:r>
              <w:t>Alle</w:t>
            </w:r>
          </w:p>
        </w:tc>
      </w:tr>
      <w:tr>
        <w:tc>
          <w:tcPr>
            <w:tcW w:w="684" w:type="dxa"/>
          </w:tcPr>
          <w:p>
            <w:r>
              <w:t>15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Surveillance 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09" w:type="dxa"/>
          </w:tcPr>
          <w:p>
            <w:r>
              <w:t>FG32</w:t>
            </w:r>
            <w:r>
              <w:br/>
            </w:r>
          </w:p>
        </w:tc>
      </w:tr>
      <w:tr>
        <w:tc>
          <w:tcPr>
            <w:tcW w:w="684" w:type="dxa"/>
          </w:tcPr>
          <w:p>
            <w:r>
              <w:t>16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Transport und Grenzübergangsstellen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09" w:type="dxa"/>
          </w:tcPr>
          <w:p>
            <w:r>
              <w:t>FG31</w:t>
            </w:r>
          </w:p>
        </w:tc>
      </w:tr>
      <w:tr>
        <w:tc>
          <w:tcPr>
            <w:tcW w:w="684" w:type="dxa"/>
          </w:tcPr>
          <w:p>
            <w:r>
              <w:t>17</w:t>
            </w:r>
          </w:p>
        </w:tc>
        <w:tc>
          <w:tcPr>
            <w:tcW w:w="6408" w:type="dxa"/>
          </w:tcPr>
          <w:p>
            <w:pPr>
              <w:rPr>
                <w:b/>
                <w:i/>
                <w:color w:val="8DB3E2" w:themeColor="text2" w:themeTint="66"/>
              </w:rPr>
            </w:pPr>
            <w:r>
              <w:rPr>
                <w:b/>
              </w:rPr>
              <w:t xml:space="preserve">Information aus der Koordinierungsstelle </w:t>
            </w:r>
          </w:p>
          <w:p>
            <w:pPr>
              <w:pStyle w:val="Listenabsatz"/>
              <w:numPr>
                <w:ilvl w:val="0"/>
                <w:numId w:val="5"/>
              </w:numPr>
            </w:pPr>
          </w:p>
        </w:tc>
        <w:tc>
          <w:tcPr>
            <w:tcW w:w="1809" w:type="dxa"/>
          </w:tcPr>
          <w:p>
            <w:r>
              <w:t>FG31</w:t>
            </w:r>
          </w:p>
        </w:tc>
      </w:tr>
      <w:tr>
        <w:tc>
          <w:tcPr>
            <w:tcW w:w="684" w:type="dxa"/>
          </w:tcPr>
          <w:p>
            <w:r>
              <w:t>18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Wichtige Aufgaben und Termine</w:t>
            </w:r>
          </w:p>
          <w:p>
            <w:pPr>
              <w:rPr>
                <w:b/>
              </w:rPr>
            </w:pPr>
          </w:p>
        </w:tc>
        <w:tc>
          <w:tcPr>
            <w:tcW w:w="1809" w:type="dxa"/>
          </w:tcPr>
          <w:p>
            <w:r>
              <w:t>Alle</w:t>
            </w:r>
          </w:p>
        </w:tc>
      </w:tr>
      <w:tr>
        <w:tc>
          <w:tcPr>
            <w:tcW w:w="684" w:type="dxa"/>
          </w:tcPr>
          <w:p>
            <w:r>
              <w:t>19</w:t>
            </w:r>
          </w:p>
        </w:tc>
        <w:tc>
          <w:tcPr>
            <w:tcW w:w="6408" w:type="dxa"/>
          </w:tcPr>
          <w:p>
            <w:pPr>
              <w:rPr>
                <w:b/>
              </w:rPr>
            </w:pPr>
            <w:r>
              <w:rPr>
                <w:b/>
              </w:rPr>
              <w:t>Andere Themen</w:t>
            </w:r>
          </w:p>
          <w:p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>
              <w:t>Nächste Sitzung: 28.09.2022, 11 Uhr</w:t>
            </w:r>
          </w:p>
          <w:p>
            <w:pPr>
              <w:pStyle w:val="Listenabsatz"/>
              <w:rPr>
                <w:b/>
              </w:rPr>
            </w:pPr>
          </w:p>
        </w:tc>
        <w:tc>
          <w:tcPr>
            <w:tcW w:w="1809" w:type="dxa"/>
          </w:tcPr>
          <w:p/>
        </w:tc>
      </w:tr>
    </w:tbl>
    <w:p>
      <w:pPr>
        <w:spacing w:after="240" w:line="360" w:lineRule="auto"/>
      </w:pPr>
    </w:p>
    <w:p>
      <w:pPr>
        <w:spacing w:after="240" w:line="36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Falls keine Person als </w:t>
      </w:r>
      <w:hyperlink r:id="rId7" w:history="1">
        <w:r>
          <w:rPr>
            <w:rStyle w:val="Hyperlink"/>
            <w:sz w:val="22"/>
            <w:szCs w:val="22"/>
          </w:rPr>
          <w:t>ncov-Lage@rki.de</w:t>
        </w:r>
      </w:hyperlink>
      <w:r>
        <w:rPr>
          <w:sz w:val="22"/>
          <w:szCs w:val="22"/>
        </w:rPr>
        <w:t xml:space="preserve"> in Webex eingeloggt ist:</w:t>
      </w:r>
      <w:r>
        <w:rPr>
          <w:sz w:val="22"/>
          <w:szCs w:val="22"/>
        </w:rPr>
        <w:br/>
        <w:t xml:space="preserve">Unter &gt; Teilnehmer &gt; Gastgeberrolle zurückfordern </w:t>
      </w:r>
      <w:r>
        <w:rPr>
          <w:sz w:val="22"/>
          <w:szCs w:val="22"/>
        </w:rPr>
        <w:br/>
      </w:r>
      <w:proofErr w:type="gramStart"/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Webex</w:t>
      </w:r>
      <w:proofErr w:type="spellEnd"/>
      <w:proofErr w:type="gramEnd"/>
      <w:r>
        <w:rPr>
          <w:sz w:val="22"/>
          <w:szCs w:val="22"/>
        </w:rPr>
        <w:t xml:space="preserve"> Gastgeber-Kennnummer für Mittwoch: 272449</w:t>
      </w:r>
    </w:p>
    <w:p>
      <w:pPr>
        <w:spacing w:after="240" w:line="360" w:lineRule="auto"/>
      </w:pPr>
    </w:p>
    <w:p>
      <w:pPr>
        <w:spacing w:after="240" w:line="360" w:lineRule="auto"/>
      </w:pPr>
    </w:p>
    <w:sectPr>
      <w:headerReference w:type="default" r:id="rId8"/>
      <w:footerReference w:type="even" r:id="rId9"/>
      <w:footerReference w:type="default" r:id="rId10"/>
      <w:pgSz w:w="11900" w:h="16840"/>
      <w:pgMar w:top="851" w:right="1797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Fuzeile"/>
      <w:ind w:right="360"/>
      <w:rPr>
        <w:i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ab/>
    </w:r>
    <w:r>
      <w:rPr>
        <w:color w:val="1F497D" w:themeColor="text2"/>
      </w:rPr>
      <w:tab/>
    </w:r>
    <w:r>
      <w:rPr>
        <w:noProof/>
        <w:color w:val="1F497D" w:themeColor="text2"/>
        <w:lang w:eastAsia="de-DE"/>
      </w:rPr>
      <w:drawing>
        <wp:inline distT="0" distB="0" distL="0" distR="0">
          <wp:extent cx="1574800" cy="465667"/>
          <wp:effectExtent l="25400" t="0" r="0" b="0"/>
          <wp:docPr id="1" name="P 1" descr="RKI_Logo_Moni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KI_Logo_Moni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744" cy="46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>
    <w:pPr>
      <w:pStyle w:val="Kopfzeile"/>
      <w:pBdr>
        <w:bottom w:val="single" w:sz="6" w:space="1" w:color="auto"/>
      </w:pBdr>
      <w:rPr>
        <w:color w:val="1F497D" w:themeColor="text2"/>
      </w:rPr>
    </w:pP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 xml:space="preserve">Koordinierungsstelle des RKI    </w:t>
    </w:r>
    <w:r>
      <w:rPr>
        <w:color w:val="1F497D" w:themeColor="text2"/>
      </w:rPr>
      <w:tab/>
    </w:r>
    <w:r>
      <w:rPr>
        <w:color w:val="1F497D" w:themeColor="text2"/>
      </w:rPr>
      <w:tab/>
      <w:t>Agenda der COVID-19-Lage-AG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64C3"/>
    <w:multiLevelType w:val="hybridMultilevel"/>
    <w:tmpl w:val="D58E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C1CE2"/>
    <w:multiLevelType w:val="hybridMultilevel"/>
    <w:tmpl w:val="6BCE3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75F65"/>
    <w:multiLevelType w:val="hybridMultilevel"/>
    <w:tmpl w:val="780A7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41A7"/>
    <w:multiLevelType w:val="hybridMultilevel"/>
    <w:tmpl w:val="AEE64A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1197"/>
    <w:multiLevelType w:val="hybridMultilevel"/>
    <w:tmpl w:val="5E208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6B54"/>
    <w:multiLevelType w:val="hybridMultilevel"/>
    <w:tmpl w:val="DB84E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2685"/>
    <w:multiLevelType w:val="hybridMultilevel"/>
    <w:tmpl w:val="D1F8CFA4"/>
    <w:lvl w:ilvl="0" w:tplc="57EEC79A">
      <w:start w:val="1"/>
      <w:numFmt w:val="bullet"/>
      <w:pStyle w:val="Style1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F21567"/>
    <w:multiLevelType w:val="hybridMultilevel"/>
    <w:tmpl w:val="46187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8305E"/>
    <w:multiLevelType w:val="hybridMultilevel"/>
    <w:tmpl w:val="A4A84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5088B"/>
    <w:multiLevelType w:val="hybridMultilevel"/>
    <w:tmpl w:val="E2709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F13A1"/>
    <w:multiLevelType w:val="hybridMultilevel"/>
    <w:tmpl w:val="5D6EA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D59C2"/>
    <w:multiLevelType w:val="hybridMultilevel"/>
    <w:tmpl w:val="6DC0B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0180D"/>
    <w:multiLevelType w:val="hybridMultilevel"/>
    <w:tmpl w:val="B3A65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447"/>
    <w:multiLevelType w:val="hybridMultilevel"/>
    <w:tmpl w:val="B3DEF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567A"/>
    <w:multiLevelType w:val="hybridMultilevel"/>
    <w:tmpl w:val="95EE5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ADED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B4AC2"/>
    <w:multiLevelType w:val="hybridMultilevel"/>
    <w:tmpl w:val="D58E4A5C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4C3351"/>
    <w:multiLevelType w:val="hybridMultilevel"/>
    <w:tmpl w:val="D58E4A5C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07176"/>
    <w:multiLevelType w:val="hybridMultilevel"/>
    <w:tmpl w:val="1898C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61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17"/>
  </w:num>
  <w:num w:numId="12">
    <w:abstractNumId w:val="13"/>
  </w:num>
  <w:num w:numId="13">
    <w:abstractNumId w:val="3"/>
  </w:num>
  <w:num w:numId="14">
    <w:abstractNumId w:val="12"/>
  </w:num>
  <w:num w:numId="15">
    <w:abstractNumId w:val="4"/>
  </w:num>
  <w:num w:numId="16">
    <w:abstractNumId w:val="8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C98FB24-A8A5-4E66-95EA-71EF59CA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paragraph" w:customStyle="1" w:styleId="Style1">
    <w:name w:val="Style1"/>
    <w:basedOn w:val="Listenabsatz"/>
    <w:qFormat/>
    <w:pPr>
      <w:numPr>
        <w:numId w:val="4"/>
      </w:numPr>
      <w:spacing w:before="120" w:after="3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t">
    <w:name w:val="st"/>
    <w:basedOn w:val="Absatz-Standardschriftart"/>
  </w:style>
  <w:style w:type="character" w:customStyle="1" w:styleId="ListenabsatzZchn">
    <w:name w:val="Listenabsatz Zchn"/>
    <w:basedOn w:val="Absatz-Standardschriftart"/>
    <w:link w:val="Listenabsatz"/>
    <w:uiPriority w:val="34"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cov-Lage@rki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8BAFD-3910-4358-8CF7-DB554159E866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11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Rexroth</dc:creator>
  <cp:lastModifiedBy>von Berenberg-Gossler, Petra</cp:lastModifiedBy>
  <cp:revision>4</cp:revision>
  <cp:lastPrinted>2020-03-13T12:00:00Z</cp:lastPrinted>
  <dcterms:created xsi:type="dcterms:W3CDTF">2022-09-14T11:30:00Z</dcterms:created>
  <dcterms:modified xsi:type="dcterms:W3CDTF">2022-09-14T11:34:00Z</dcterms:modified>
</cp:coreProperties>
</file>