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Lage-AG-Sitzung zu COVID-19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COVID-19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Mittwoch, 09.11.2022,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r>
            <w:rPr>
              <w:sz w:val="22"/>
            </w:rPr>
            <w:t>Webex-Konferenz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Ute Rexroth</w:t>
      </w:r>
    </w:p>
    <w:p>
      <w:pPr>
        <w:spacing w:after="0"/>
        <w:rPr>
          <w:b/>
          <w:sz w:val="22"/>
        </w:rPr>
        <w:sectPr>
          <w:headerReference w:type="default" r:id="rId8"/>
          <w:footerReference w:type="even" r:id="rId9"/>
          <w:footerReference w:type="default" r:id="rId10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bookmarkStart w:id="0" w:name="_Hlk82005470"/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Sangeeta Banerji (Protokoll)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Annette Mankertz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Ralf </w:t>
      </w:r>
      <w:proofErr w:type="spellStart"/>
      <w:r>
        <w:rPr>
          <w:sz w:val="22"/>
          <w:szCs w:val="22"/>
        </w:rPr>
        <w:t>Dürrwald</w:t>
      </w:r>
      <w:proofErr w:type="spellEnd"/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FG21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Wolfgang </w:t>
      </w:r>
      <w:proofErr w:type="spellStart"/>
      <w:r>
        <w:rPr>
          <w:rStyle w:val="highlight"/>
          <w:sz w:val="22"/>
          <w:szCs w:val="22"/>
        </w:rPr>
        <w:t>Scheida</w:t>
      </w:r>
      <w:proofErr w:type="spellEnd"/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Ute Rexroth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Alexandra Hofmann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Ole Wichmann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Jonathan Fischer-Fels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Walter Haas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Stefan Kröger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Kristin Tolksdorf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proofErr w:type="spellStart"/>
      <w:r>
        <w:rPr>
          <w:sz w:val="22"/>
          <w:szCs w:val="22"/>
        </w:rPr>
        <w:t>Muna</w:t>
      </w:r>
      <w:proofErr w:type="spellEnd"/>
      <w:r>
        <w:rPr>
          <w:sz w:val="22"/>
          <w:szCs w:val="22"/>
        </w:rPr>
        <w:t xml:space="preserve"> Abu Sin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ZBS7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Annegret Schneider</w:t>
      </w:r>
    </w:p>
    <w:p>
      <w:pPr>
        <w:spacing w:after="0"/>
        <w:rPr>
          <w:sz w:val="22"/>
          <w:szCs w:val="22"/>
        </w:rPr>
      </w:pPr>
    </w:p>
    <w:p>
      <w:pPr>
        <w:spacing w:after="0"/>
        <w:rPr>
          <w:sz w:val="22"/>
          <w:szCs w:val="22"/>
        </w:rPr>
      </w:pP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MF4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Martina Fischer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Marieke Degen</w:t>
      </w:r>
    </w:p>
    <w:p>
      <w:pPr>
        <w:pStyle w:val="Listenabsatz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Ronja Wenchel 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Johanna Hanefeld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Carlos Correa-Martinez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Andrea </w:t>
      </w:r>
      <w:proofErr w:type="spellStart"/>
      <w:r>
        <w:rPr>
          <w:color w:val="000000" w:themeColor="text1"/>
          <w:sz w:val="22"/>
          <w:szCs w:val="22"/>
        </w:rPr>
        <w:t>Rückle</w:t>
      </w:r>
      <w:proofErr w:type="spellEnd"/>
    </w:p>
    <w:p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bookmarkEnd w:id="0"/>
    <w:p>
      <w:pPr>
        <w:spacing w:after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2"/>
        <w:numPr>
          <w:ilvl w:val="0"/>
          <w:numId w:val="0"/>
        </w:num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824"/>
        <w:gridCol w:w="1463"/>
      </w:tblGrid>
      <w:tr>
        <w:tc>
          <w:tcPr>
            <w:tcW w:w="68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  <w:t>TOP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Beitrag/ Thema</w:t>
            </w:r>
          </w:p>
        </w:tc>
        <w:tc>
          <w:tcPr>
            <w:tcW w:w="1463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Aktuelle Lage </w:t>
            </w:r>
          </w:p>
          <w:p>
            <w:pPr>
              <w:spacing w:line="276" w:lineRule="auto"/>
              <w:rPr>
                <w:rStyle w:val="TagMiZchn"/>
                <w:bCs/>
              </w:rPr>
            </w:pPr>
            <w:r>
              <w:rPr>
                <w:rStyle w:val="2Zchn"/>
                <w:sz w:val="22"/>
                <w:szCs w:val="22"/>
              </w:rPr>
              <w:t>International</w:t>
            </w:r>
            <w:r>
              <w:rPr>
                <w:rStyle w:val="TagMiZchn"/>
                <w:bCs/>
              </w:rPr>
              <w:t xml:space="preserve"> </w:t>
            </w:r>
          </w:p>
          <w:p>
            <w:pPr>
              <w:spacing w:line="276" w:lineRule="auto"/>
            </w:pPr>
          </w:p>
          <w:p>
            <w:pPr>
              <w:pStyle w:val="Liste2"/>
            </w:pPr>
            <w:proofErr w:type="spellStart"/>
            <w:r>
              <w:t>Folien</w:t>
            </w:r>
            <w:proofErr w:type="spellEnd"/>
            <w:r>
              <w:t xml:space="preserve"> </w:t>
            </w:r>
            <w:hyperlink r:id="rId11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</w:p>
          <w:p>
            <w:pPr>
              <w:pStyle w:val="Liste2"/>
            </w:pPr>
            <w:proofErr w:type="spellStart"/>
            <w:r>
              <w:t>Weltweit</w:t>
            </w:r>
            <w:proofErr w:type="spellEnd"/>
            <w:r>
              <w:t xml:space="preserve">: </w:t>
            </w:r>
            <w:proofErr w:type="spellStart"/>
            <w:r>
              <w:t>Fälle</w:t>
            </w:r>
            <w:proofErr w:type="spellEnd"/>
            <w:r>
              <w:t xml:space="preserve">, </w:t>
            </w:r>
            <w:proofErr w:type="spellStart"/>
            <w:r>
              <w:t>Todesfälle</w:t>
            </w:r>
            <w:proofErr w:type="spellEnd"/>
          </w:p>
          <w:p>
            <w:pPr>
              <w:pStyle w:val="Liste2"/>
            </w:pPr>
            <w:proofErr w:type="spellStart"/>
            <w:r>
              <w:t>Datenstand</w:t>
            </w:r>
            <w:proofErr w:type="spellEnd"/>
            <w:r>
              <w:t>: WHO, 08.11.2022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Liste Top 10 Länder nach neuen Fällen: </w:t>
            </w:r>
          </w:p>
          <w:p>
            <w:pPr>
              <w:pStyle w:val="Liste3"/>
            </w:pPr>
            <w:r>
              <w:t>Anstieg der Fallzahlen in Indonesien und Malaysia</w:t>
            </w:r>
          </w:p>
          <w:p>
            <w:pPr>
              <w:pStyle w:val="Liste3"/>
            </w:pPr>
            <w:r>
              <w:t>Nachmeldung von Todesfällen aus Indien, daher der Anstieg von 69% Todesfälle in Asien</w:t>
            </w:r>
          </w:p>
          <w:p>
            <w:pPr>
              <w:pStyle w:val="Liste3"/>
            </w:pPr>
            <w:r>
              <w:t>Ansonsten weltweit sinkende Fallzahlen und Todeszahlen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lang w:val="de-DE"/>
              </w:rPr>
            </w:pPr>
            <w:r>
              <w:rPr>
                <w:lang w:val="de-DE"/>
              </w:rPr>
              <w:t>ECDC (KW43): Auch hier rückläufige Fall- und Todeszahlen, Hospitalisierungen und Intensivbelegung: stabil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lang w:val="de-DE"/>
              </w:rPr>
            </w:pPr>
            <w:r>
              <w:rPr>
                <w:lang w:val="de-DE"/>
              </w:rPr>
              <w:t>Niederlande erklären Herbstwelle für beendet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lang w:val="de-DE"/>
              </w:rPr>
            </w:pPr>
            <w:r>
              <w:rPr>
                <w:lang w:val="de-DE"/>
              </w:rPr>
              <w:t>Neue Regierung in Italien hebt Impfpflicht in Gesundheitsberufen auf, um Personalknappheut entgegenzuwirken, COVID-Berichterstattung nur noch 1 Mal pro Woche in Italien</w:t>
            </w:r>
          </w:p>
          <w:p>
            <w:pPr>
              <w:pStyle w:val="2"/>
            </w:pPr>
            <w:r>
              <w:t xml:space="preserve">National </w:t>
            </w:r>
          </w:p>
          <w:p>
            <w:pPr>
              <w:pStyle w:val="Liste2"/>
            </w:pPr>
            <w:proofErr w:type="spellStart"/>
            <w:r>
              <w:t>Fallzahlen</w:t>
            </w:r>
            <w:proofErr w:type="spellEnd"/>
            <w:r>
              <w:t xml:space="preserve">, </w:t>
            </w:r>
            <w:proofErr w:type="spellStart"/>
            <w:r>
              <w:t>Todesfälle</w:t>
            </w:r>
            <w:proofErr w:type="spellEnd"/>
            <w:r>
              <w:t xml:space="preserve">, Trend, </w:t>
            </w:r>
            <w:proofErr w:type="spellStart"/>
            <w:r>
              <w:t>Folien</w:t>
            </w:r>
            <w:proofErr w:type="spellEnd"/>
            <w:r>
              <w:t xml:space="preserve"> </w:t>
            </w:r>
            <w:hyperlink r:id="rId12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SurvNet</w:t>
            </w:r>
            <w:proofErr w:type="spellEnd"/>
            <w:r>
              <w:rPr>
                <w:lang w:val="de-DE"/>
              </w:rPr>
              <w:t xml:space="preserve"> übermittelt: </w:t>
            </w:r>
            <w:proofErr w:type="spellStart"/>
            <w:r>
              <w:rPr>
                <w:lang w:val="de-DE"/>
              </w:rPr>
              <w:t>SurvNet</w:t>
            </w:r>
            <w:proofErr w:type="spellEnd"/>
            <w:r>
              <w:rPr>
                <w:lang w:val="de-DE"/>
              </w:rPr>
              <w:t xml:space="preserve"> übermittelt: 35.932.654 (+47.820), davon 155.012 (+227) Todesfälle </w:t>
            </w:r>
          </w:p>
          <w:p>
            <w:pPr>
              <w:pStyle w:val="Liste2"/>
            </w:pPr>
            <w:r>
              <w:t xml:space="preserve">7-Tage-Inzidenz:  294,1/100.000 </w:t>
            </w:r>
            <w:proofErr w:type="spellStart"/>
            <w:r>
              <w:t>Einw</w:t>
            </w:r>
            <w:proofErr w:type="spellEnd"/>
            <w:r>
              <w:t>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Impfmonitoring: Geimpfte mit 1. Dosis 64.808.642 (77,9%), mit vollständiger Impfung 63.495.111 (76,3%)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Verlauf der 7-Tage-Inzidenz der Bundesländer:</w:t>
            </w:r>
          </w:p>
          <w:p>
            <w:pPr>
              <w:pStyle w:val="Liste3"/>
            </w:pPr>
            <w:r>
              <w:t>Rückgang in allen BL</w:t>
            </w:r>
          </w:p>
          <w:p>
            <w:pPr>
              <w:pStyle w:val="Liste3"/>
            </w:pPr>
            <w:r>
              <w:t>15 LK &gt;500, alle im Norden/Nordwesten</w:t>
            </w:r>
          </w:p>
          <w:p>
            <w:pPr>
              <w:pStyle w:val="Liste3"/>
            </w:pPr>
            <w:r>
              <w:t>Seit 4 Wochen deutlicher Rückgang in allen AG, Spätsommer-/Herbstwelle wahrscheinlich beendet</w:t>
            </w:r>
          </w:p>
          <w:p>
            <w:pPr>
              <w:pStyle w:val="Liste3"/>
            </w:pPr>
            <w:r>
              <w:t>Keine Erhöhte Mortalität</w:t>
            </w:r>
          </w:p>
          <w:p>
            <w:pPr>
              <w:pStyle w:val="Liste2"/>
              <w:rPr>
                <w:rStyle w:val="TagMiZchn"/>
                <w:b w:val="0"/>
                <w:bCs/>
                <w:lang w:val="de-DE"/>
              </w:rPr>
            </w:pPr>
            <w:r>
              <w:rPr>
                <w:rStyle w:val="3Zchn"/>
                <w:b w:val="0"/>
                <w:lang w:val="de-DE"/>
              </w:rPr>
              <w:t>ARS-Daten</w:t>
            </w:r>
          </w:p>
          <w:p>
            <w:pPr>
              <w:pStyle w:val="Liste2"/>
              <w:numPr>
                <w:ilvl w:val="0"/>
                <w:numId w:val="10"/>
              </w:numPr>
              <w:rPr>
                <w:lang w:val="de-DE"/>
              </w:rPr>
            </w:pPr>
            <w:proofErr w:type="spellStart"/>
            <w:r>
              <w:t>Folien</w:t>
            </w:r>
            <w:proofErr w:type="spellEnd"/>
            <w:r>
              <w:t xml:space="preserve"> </w:t>
            </w:r>
            <w:hyperlink r:id="rId13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</w:p>
          <w:p>
            <w:pPr>
              <w:pStyle w:val="Liste2"/>
              <w:numPr>
                <w:ilvl w:val="0"/>
                <w:numId w:val="10"/>
              </w:numPr>
              <w:rPr>
                <w:lang w:val="de-DE"/>
              </w:rPr>
            </w:pPr>
            <w:proofErr w:type="spellStart"/>
            <w:r>
              <w:rPr>
                <w:lang w:val="de-DE"/>
              </w:rPr>
              <w:t>Positivenanteil</w:t>
            </w:r>
            <w:proofErr w:type="spellEnd"/>
            <w:r>
              <w:rPr>
                <w:lang w:val="de-DE"/>
              </w:rPr>
              <w:t xml:space="preserve"> ca. 25% in allen BL und rückläufig</w:t>
            </w:r>
          </w:p>
          <w:p>
            <w:pPr>
              <w:pStyle w:val="Liste2"/>
              <w:numPr>
                <w:ilvl w:val="0"/>
                <w:numId w:val="10"/>
              </w:numPr>
              <w:rPr>
                <w:lang w:val="de-DE"/>
              </w:rPr>
            </w:pPr>
            <w:r>
              <w:rPr>
                <w:lang w:val="de-DE"/>
              </w:rPr>
              <w:t>in Berlin ein sehr geringer PA bei Gesamttestungen, wegen geringer Repräsentativität der involvierten KH</w:t>
            </w:r>
          </w:p>
          <w:p>
            <w:pPr>
              <w:pStyle w:val="Liste2"/>
              <w:numPr>
                <w:ilvl w:val="0"/>
                <w:numId w:val="10"/>
              </w:numPr>
              <w:rPr>
                <w:lang w:val="de-DE"/>
              </w:rPr>
            </w:pPr>
            <w:r>
              <w:rPr>
                <w:lang w:val="de-DE"/>
              </w:rPr>
              <w:t>Testungen pro 100.000 Einwohnern: konstant bei 5-14J, sonst rückläufig</w:t>
            </w:r>
          </w:p>
          <w:p>
            <w:pPr>
              <w:pStyle w:val="Liste2"/>
              <w:numPr>
                <w:ilvl w:val="0"/>
                <w:numId w:val="10"/>
              </w:numPr>
              <w:rPr>
                <w:lang w:val="de-DE"/>
              </w:rPr>
            </w:pPr>
            <w:r>
              <w:rPr>
                <w:lang w:val="de-DE"/>
              </w:rPr>
              <w:t>Rückgang in der Anzahl an Ausbrüchen</w:t>
            </w:r>
          </w:p>
          <w:p>
            <w:pPr>
              <w:pStyle w:val="Liste2"/>
              <w:rPr>
                <w:rStyle w:val="TagMiZchn"/>
                <w:b w:val="0"/>
                <w:bCs/>
                <w:lang w:val="de-DE"/>
              </w:rPr>
            </w:pPr>
            <w:r>
              <w:rPr>
                <w:rStyle w:val="3Zchn"/>
                <w:b w:val="0"/>
                <w:lang w:val="de-DE"/>
              </w:rPr>
              <w:t>Testkapazität und Testungen</w:t>
            </w:r>
            <w:r>
              <w:rPr>
                <w:lang w:val="de-DE"/>
              </w:rPr>
              <w:t xml:space="preserve"> </w:t>
            </w:r>
          </w:p>
          <w:p>
            <w:pPr>
              <w:pStyle w:val="Liste2"/>
            </w:pP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berichtet</w:t>
            </w:r>
            <w:proofErr w:type="spellEnd"/>
          </w:p>
          <w:p>
            <w:pPr>
              <w:pStyle w:val="Liste2"/>
            </w:pPr>
            <w:r>
              <w:t>VOC-Bericht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lang w:val="de-DE"/>
              </w:rPr>
            </w:pPr>
            <w:proofErr w:type="spellStart"/>
            <w:r>
              <w:t>Folien</w:t>
            </w:r>
            <w:proofErr w:type="spellEnd"/>
            <w:r>
              <w:t xml:space="preserve"> </w:t>
            </w:r>
            <w:hyperlink r:id="rId14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</w:p>
          <w:p>
            <w:pPr>
              <w:pStyle w:val="Liste2"/>
              <w:numPr>
                <w:ilvl w:val="0"/>
                <w:numId w:val="11"/>
              </w:numPr>
              <w:rPr>
                <w:lang w:val="de-DE"/>
              </w:rPr>
            </w:pPr>
            <w:r>
              <w:rPr>
                <w:lang w:val="de-DE"/>
              </w:rPr>
              <w:t>Nur noch Omikron Varianten vorherrschend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lang w:val="de-DE"/>
              </w:rPr>
            </w:pPr>
            <w:r>
              <w:rPr>
                <w:lang w:val="de-DE"/>
              </w:rPr>
              <w:t>BA.5 dominant, Anteil BA.4 rückläufig, Anteil BA.2 steigend (aktuell bei 3%)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Aufgrund </w:t>
            </w:r>
            <w:proofErr w:type="spellStart"/>
            <w:r>
              <w:rPr>
                <w:lang w:val="de-DE"/>
              </w:rPr>
              <w:t>Pangolinnomenklatur</w:t>
            </w:r>
            <w:proofErr w:type="spellEnd"/>
            <w:r>
              <w:rPr>
                <w:lang w:val="de-DE"/>
              </w:rPr>
              <w:t xml:space="preserve"> gibt es viele Sublinien, z.B. BF.7 ist eine </w:t>
            </w:r>
            <w:proofErr w:type="spellStart"/>
            <w:r>
              <w:rPr>
                <w:lang w:val="de-DE"/>
              </w:rPr>
              <w:t>Sublinie</w:t>
            </w:r>
            <w:proofErr w:type="spellEnd"/>
            <w:r>
              <w:rPr>
                <w:lang w:val="de-DE"/>
              </w:rPr>
              <w:t xml:space="preserve"> von BA.5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lang w:val="de-DE"/>
              </w:rPr>
            </w:pPr>
            <w:r>
              <w:rPr>
                <w:lang w:val="de-DE"/>
              </w:rPr>
              <w:t xml:space="preserve">BQ1/BQ1.1 werden manchmal zusammen </w:t>
            </w:r>
            <w:proofErr w:type="spellStart"/>
            <w:r>
              <w:rPr>
                <w:lang w:val="de-DE"/>
              </w:rPr>
              <w:t>ausgeweisen</w:t>
            </w:r>
            <w:proofErr w:type="spellEnd"/>
          </w:p>
          <w:p>
            <w:pPr>
              <w:pStyle w:val="Liste2"/>
              <w:numPr>
                <w:ilvl w:val="0"/>
                <w:numId w:val="11"/>
              </w:numPr>
              <w:rPr>
                <w:lang w:val="de-DE"/>
              </w:rPr>
            </w:pPr>
            <w:r>
              <w:rPr>
                <w:lang w:val="de-DE"/>
              </w:rPr>
              <w:t>Andere Bezeichnungen stammen noch von Vor-</w:t>
            </w:r>
            <w:proofErr w:type="spellStart"/>
            <w:r>
              <w:rPr>
                <w:lang w:val="de-DE"/>
              </w:rPr>
              <w:t>Pangolin</w:t>
            </w:r>
            <w:proofErr w:type="spellEnd"/>
            <w:r>
              <w:rPr>
                <w:lang w:val="de-DE"/>
              </w:rPr>
              <w:t>-Nomenklatur Zeit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lang w:val="de-DE"/>
              </w:rPr>
            </w:pPr>
            <w:r>
              <w:rPr>
                <w:lang w:val="de-DE"/>
              </w:rPr>
              <w:t>PEI erhielt Prüfauftrag, um Sensibilität von Schnelltests für neue Varianten (z.B. BQ1 und BQ1.1) zu prüfen</w:t>
            </w:r>
          </w:p>
          <w:p>
            <w:pPr>
              <w:pStyle w:val="Liste2"/>
            </w:pPr>
            <w:proofErr w:type="spellStart"/>
            <w:r>
              <w:t>Molekulare</w:t>
            </w:r>
            <w:proofErr w:type="spellEnd"/>
            <w:r>
              <w:t xml:space="preserve"> Surveillance </w:t>
            </w:r>
          </w:p>
          <w:p>
            <w:pPr>
              <w:pStyle w:val="Liste2"/>
            </w:pPr>
            <w:r>
              <w:t>(nicht berichtet)</w:t>
            </w:r>
          </w:p>
          <w:p>
            <w:pPr>
              <w:pStyle w:val="Liste2"/>
            </w:pPr>
            <w:r>
              <w:t>Syndromische Surveillance</w:t>
            </w:r>
            <w:r>
              <w:rPr>
                <w:rStyle w:val="TagMiZchn"/>
              </w:rPr>
              <w:t xml:space="preserve"> </w:t>
            </w:r>
          </w:p>
          <w:p>
            <w:pPr>
              <w:pStyle w:val="Liste2"/>
              <w:numPr>
                <w:ilvl w:val="0"/>
                <w:numId w:val="9"/>
              </w:numPr>
            </w:pPr>
            <w:proofErr w:type="spellStart"/>
            <w:r>
              <w:t>Folien</w:t>
            </w:r>
            <w:proofErr w:type="spellEnd"/>
            <w:r>
              <w:t xml:space="preserve"> </w:t>
            </w:r>
            <w:hyperlink r:id="rId15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</w:p>
          <w:p>
            <w:pPr>
              <w:pStyle w:val="Liste2"/>
              <w:numPr>
                <w:ilvl w:val="0"/>
                <w:numId w:val="9"/>
              </w:numPr>
            </w:pPr>
            <w:r>
              <w:t>5,0 Mio. ARE (</w:t>
            </w:r>
            <w:proofErr w:type="spellStart"/>
            <w:r>
              <w:t>Vorwoche</w:t>
            </w:r>
            <w:proofErr w:type="spellEnd"/>
            <w:r>
              <w:t>: 5,2 Mio)</w:t>
            </w:r>
          </w:p>
          <w:p>
            <w:pPr>
              <w:pStyle w:val="Liste2"/>
              <w:numPr>
                <w:ilvl w:val="0"/>
                <w:numId w:val="9"/>
              </w:numPr>
              <w:rPr>
                <w:lang w:val="de-DE"/>
              </w:rPr>
            </w:pPr>
            <w:r>
              <w:rPr>
                <w:lang w:val="de-DE"/>
              </w:rPr>
              <w:t>Rückgang in allen AG, außer bei 15-34J: da Anstieg</w:t>
            </w:r>
          </w:p>
          <w:p>
            <w:pPr>
              <w:pStyle w:val="Liste2"/>
              <w:numPr>
                <w:ilvl w:val="0"/>
                <w:numId w:val="9"/>
              </w:numPr>
              <w:rPr>
                <w:lang w:val="de-DE"/>
              </w:rPr>
            </w:pPr>
            <w:r>
              <w:rPr>
                <w:lang w:val="de-DE"/>
              </w:rPr>
              <w:t>Arztkonsultationen rückläufig</w:t>
            </w:r>
          </w:p>
          <w:p>
            <w:pPr>
              <w:pStyle w:val="Liste2"/>
              <w:numPr>
                <w:ilvl w:val="0"/>
                <w:numId w:val="9"/>
              </w:numPr>
              <w:rPr>
                <w:lang w:val="de-DE"/>
              </w:rPr>
            </w:pPr>
            <w:r>
              <w:rPr>
                <w:lang w:val="de-DE"/>
              </w:rPr>
              <w:t>Stationär: SARI-Inzidenz höher als vor der Pandemie</w:t>
            </w:r>
          </w:p>
          <w:p>
            <w:pPr>
              <w:pStyle w:val="Liste2"/>
              <w:numPr>
                <w:ilvl w:val="0"/>
                <w:numId w:val="9"/>
              </w:numPr>
              <w:rPr>
                <w:lang w:val="de-DE"/>
              </w:rPr>
            </w:pPr>
            <w:r>
              <w:rPr>
                <w:lang w:val="de-DE"/>
              </w:rPr>
              <w:t>COVID-19 Anteil bei SARI: 19% (Vorwoche: 30%)</w:t>
            </w:r>
          </w:p>
          <w:p>
            <w:pPr>
              <w:pStyle w:val="Liste2"/>
              <w:numPr>
                <w:ilvl w:val="0"/>
                <w:numId w:val="9"/>
              </w:numPr>
              <w:rPr>
                <w:lang w:val="de-DE"/>
              </w:rPr>
            </w:pPr>
            <w:r>
              <w:rPr>
                <w:lang w:val="de-DE"/>
              </w:rPr>
              <w:t>COVID-19 Anteil bei SARI-Fällen mit Intensivbehandlung: 36% (Vorwoche: 40%)</w:t>
            </w:r>
          </w:p>
          <w:p>
            <w:pPr>
              <w:pStyle w:val="Liste2"/>
              <w:numPr>
                <w:ilvl w:val="0"/>
                <w:numId w:val="9"/>
              </w:numPr>
              <w:rPr>
                <w:lang w:val="de-DE"/>
              </w:rPr>
            </w:pPr>
            <w:r>
              <w:rPr>
                <w:lang w:val="de-DE"/>
              </w:rPr>
              <w:t>Starker Anstieg am RSV/Influenza bei SARI bei 0-4-Jährigen</w:t>
            </w:r>
          </w:p>
          <w:p>
            <w:pPr>
              <w:pStyle w:val="Liste2"/>
              <w:numPr>
                <w:ilvl w:val="0"/>
                <w:numId w:val="9"/>
              </w:numPr>
              <w:rPr>
                <w:lang w:val="de-DE"/>
              </w:rPr>
            </w:pPr>
            <w:r>
              <w:rPr>
                <w:lang w:val="de-DE"/>
              </w:rPr>
              <w:t>deutlicher Rückgang des Anteils COVID-19 in den AG 60+</w:t>
            </w:r>
          </w:p>
          <w:p>
            <w:pPr>
              <w:pStyle w:val="Liste2"/>
              <w:numPr>
                <w:ilvl w:val="0"/>
                <w:numId w:val="9"/>
              </w:numPr>
              <w:rPr>
                <w:lang w:val="de-DE"/>
              </w:rPr>
            </w:pPr>
            <w:r>
              <w:rPr>
                <w:lang w:val="de-DE"/>
              </w:rPr>
              <w:t>Hospitalisierungsinzidenz: 3,1 COVID-SARI/ 100.000</w:t>
            </w:r>
          </w:p>
          <w:p>
            <w:pPr>
              <w:pStyle w:val="Liste2"/>
              <w:rPr>
                <w:rStyle w:val="TagMiZchn"/>
                <w:b w:val="0"/>
                <w:lang w:val="de-DE"/>
              </w:rPr>
            </w:pPr>
            <w:r>
              <w:rPr>
                <w:lang w:val="de-DE"/>
              </w:rPr>
              <w:t xml:space="preserve">Virologische Surveillance, NRZ Influenza-Daten </w:t>
            </w:r>
          </w:p>
          <w:p>
            <w:pPr>
              <w:pStyle w:val="Liste2"/>
              <w:numPr>
                <w:ilvl w:val="0"/>
                <w:numId w:val="14"/>
              </w:numPr>
              <w:rPr>
                <w:highlight w:val="yellow"/>
                <w:lang w:val="de-DE"/>
              </w:rPr>
            </w:pPr>
            <w:r>
              <w:rPr>
                <w:highlight w:val="yellow"/>
                <w:lang w:val="de-DE"/>
              </w:rPr>
              <w:t>Folien bitte im Ordner ablegen</w:t>
            </w:r>
          </w:p>
          <w:p>
            <w:pPr>
              <w:pStyle w:val="Liste2"/>
              <w:numPr>
                <w:ilvl w:val="0"/>
                <w:numId w:val="14"/>
              </w:numPr>
              <w:rPr>
                <w:lang w:val="de-DE"/>
              </w:rPr>
            </w:pPr>
            <w:r>
              <w:rPr>
                <w:lang w:val="de-DE"/>
              </w:rPr>
              <w:t>ß-Corona Viren: Hauptsächlich Sars-CoV-2</w:t>
            </w:r>
          </w:p>
          <w:p>
            <w:pPr>
              <w:pStyle w:val="Liste2"/>
              <w:numPr>
                <w:ilvl w:val="0"/>
                <w:numId w:val="14"/>
              </w:numPr>
              <w:rPr>
                <w:lang w:val="de-DE"/>
              </w:rPr>
            </w:pPr>
            <w:r>
              <w:rPr>
                <w:lang w:val="de-DE"/>
              </w:rPr>
              <w:t>Höchste Rate bei Ü60J</w:t>
            </w:r>
          </w:p>
          <w:p>
            <w:pPr>
              <w:pStyle w:val="Liste2"/>
              <w:numPr>
                <w:ilvl w:val="0"/>
                <w:numId w:val="14"/>
              </w:numPr>
              <w:rPr>
                <w:lang w:val="de-DE"/>
              </w:rPr>
            </w:pPr>
            <w:r>
              <w:rPr>
                <w:lang w:val="de-DE"/>
              </w:rPr>
              <w:t>starker Anstieg der Influenza Viren</w:t>
            </w:r>
          </w:p>
          <w:p>
            <w:pPr>
              <w:pStyle w:val="Liste2"/>
              <w:numPr>
                <w:ilvl w:val="0"/>
                <w:numId w:val="14"/>
              </w:numPr>
              <w:rPr>
                <w:lang w:val="de-DE"/>
              </w:rPr>
            </w:pPr>
            <w:r>
              <w:rPr>
                <w:lang w:val="de-DE"/>
              </w:rPr>
              <w:t>KW43: Anfang Grippewelle: 20%</w:t>
            </w:r>
          </w:p>
          <w:p>
            <w:pPr>
              <w:pStyle w:val="Liste2"/>
              <w:numPr>
                <w:ilvl w:val="0"/>
                <w:numId w:val="14"/>
              </w:numPr>
              <w:rPr>
                <w:lang w:val="de-DE"/>
              </w:rPr>
            </w:pPr>
            <w:r>
              <w:rPr>
                <w:lang w:val="de-DE"/>
              </w:rPr>
              <w:t>5-15J am stärksten von Grippewelle betroffen</w:t>
            </w:r>
          </w:p>
          <w:p>
            <w:pPr>
              <w:pStyle w:val="Liste2"/>
              <w:numPr>
                <w:ilvl w:val="0"/>
                <w:numId w:val="14"/>
              </w:numPr>
              <w:rPr>
                <w:lang w:val="de-DE"/>
              </w:rPr>
            </w:pPr>
            <w:r>
              <w:rPr>
                <w:lang w:val="de-DE"/>
              </w:rPr>
              <w:t>RSV: 14% bei 0-4J</w:t>
            </w:r>
          </w:p>
          <w:p>
            <w:pPr>
              <w:pStyle w:val="Liste2"/>
              <w:rPr>
                <w:rStyle w:val="TagMiZchn"/>
                <w:b w:val="0"/>
                <w:bCs/>
                <w:lang w:val="de-DE"/>
              </w:rPr>
            </w:pPr>
            <w:r>
              <w:rPr>
                <w:lang w:val="de-DE"/>
              </w:rPr>
              <w:t xml:space="preserve">Zahlen zum DIVI-Intensivregister </w:t>
            </w:r>
          </w:p>
          <w:p>
            <w:pPr>
              <w:pStyle w:val="Liste2"/>
              <w:numPr>
                <w:ilvl w:val="0"/>
                <w:numId w:val="8"/>
              </w:numPr>
              <w:rPr>
                <w:lang w:val="de-DE"/>
              </w:rPr>
            </w:pPr>
            <w:proofErr w:type="spellStart"/>
            <w:r>
              <w:t>Folien</w:t>
            </w:r>
            <w:proofErr w:type="spellEnd"/>
            <w:r>
              <w:t xml:space="preserve"> </w:t>
            </w:r>
            <w:hyperlink r:id="rId16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</w:p>
          <w:p>
            <w:pPr>
              <w:pStyle w:val="Liste2"/>
              <w:numPr>
                <w:ilvl w:val="0"/>
                <w:numId w:val="8"/>
              </w:numPr>
              <w:rPr>
                <w:lang w:val="de-DE"/>
              </w:rPr>
            </w:pPr>
            <w:r>
              <w:rPr>
                <w:lang w:val="de-DE"/>
              </w:rPr>
              <w:t>1216 COVID-19 Fälle mit Stand 09.11.22 auf Intensivstationen</w:t>
            </w:r>
          </w:p>
          <w:p>
            <w:pPr>
              <w:pStyle w:val="Liste2"/>
              <w:numPr>
                <w:ilvl w:val="0"/>
                <w:numId w:val="8"/>
              </w:numPr>
              <w:rPr>
                <w:lang w:val="de-DE"/>
              </w:rPr>
            </w:pPr>
            <w:r>
              <w:rPr>
                <w:lang w:val="de-DE"/>
              </w:rPr>
              <w:t>Rückgang bei ITS Belegung sowie Neuaufnahmen</w:t>
            </w:r>
          </w:p>
          <w:p>
            <w:pPr>
              <w:pStyle w:val="Liste2"/>
              <w:numPr>
                <w:ilvl w:val="0"/>
                <w:numId w:val="8"/>
              </w:numPr>
              <w:rPr>
                <w:lang w:val="de-DE"/>
              </w:rPr>
            </w:pPr>
            <w:r>
              <w:rPr>
                <w:lang w:val="de-DE"/>
              </w:rPr>
              <w:t xml:space="preserve">Anteil der COVID-19 Fälle an Gesamtzahl </w:t>
            </w:r>
            <w:proofErr w:type="spellStart"/>
            <w:r>
              <w:rPr>
                <w:lang w:val="de-DE"/>
              </w:rPr>
              <w:t>betreibarer</w:t>
            </w:r>
            <w:proofErr w:type="spellEnd"/>
            <w:r>
              <w:rPr>
                <w:lang w:val="de-DE"/>
              </w:rPr>
              <w:t xml:space="preserve"> ITS-Betten in allen BL rückläufig außer Bremen, Mecklenburg-Vorpommern und Berlin</w:t>
            </w:r>
          </w:p>
          <w:p>
            <w:pPr>
              <w:pStyle w:val="Liste2"/>
              <w:numPr>
                <w:ilvl w:val="0"/>
                <w:numId w:val="8"/>
              </w:numPr>
              <w:rPr>
                <w:lang w:val="de-DE"/>
              </w:rPr>
            </w:pPr>
            <w:r>
              <w:rPr>
                <w:lang w:val="de-DE"/>
              </w:rPr>
              <w:t>Rückgang bei Fällen mit respiratorischer Unterstützung</w:t>
            </w:r>
          </w:p>
          <w:p>
            <w:pPr>
              <w:pStyle w:val="Liste2"/>
              <w:numPr>
                <w:ilvl w:val="0"/>
                <w:numId w:val="8"/>
              </w:numPr>
              <w:rPr>
                <w:lang w:val="de-DE"/>
              </w:rPr>
            </w:pPr>
            <w:r>
              <w:rPr>
                <w:lang w:val="de-DE"/>
              </w:rPr>
              <w:t>leichte Entspannung der Betriebssituation und Rückgang bei den Betriebseinschränkungen</w:t>
            </w:r>
          </w:p>
          <w:p>
            <w:pPr>
              <w:pStyle w:val="Liste2"/>
              <w:numPr>
                <w:ilvl w:val="0"/>
                <w:numId w:val="8"/>
              </w:numPr>
              <w:rPr>
                <w:lang w:val="de-DE"/>
              </w:rPr>
            </w:pPr>
            <w:r>
              <w:rPr>
                <w:lang w:val="de-DE"/>
              </w:rPr>
              <w:t xml:space="preserve"> Rückgang in allen Altersgruppen, vor allem bei Ü80</w:t>
            </w:r>
          </w:p>
          <w:p>
            <w:pPr>
              <w:pStyle w:val="Liste2"/>
              <w:numPr>
                <w:ilvl w:val="0"/>
                <w:numId w:val="8"/>
              </w:numPr>
              <w:rPr>
                <w:lang w:val="de-DE"/>
              </w:rPr>
            </w:pPr>
            <w:proofErr w:type="spellStart"/>
            <w:r>
              <w:rPr>
                <w:lang w:val="de-DE"/>
              </w:rPr>
              <w:t>SPoCK</w:t>
            </w:r>
            <w:proofErr w:type="spellEnd"/>
            <w:r>
              <w:rPr>
                <w:lang w:val="de-DE"/>
              </w:rPr>
              <w:t>: In den nächsten 20 Tagen weiterhin ein Rückgang der ITS Belegung durch COVID-19 Fälle erwartet</w:t>
            </w:r>
          </w:p>
          <w:p>
            <w:pPr>
              <w:pStyle w:val="Liste2"/>
              <w:numPr>
                <w:ilvl w:val="0"/>
                <w:numId w:val="8"/>
              </w:numPr>
              <w:rPr>
                <w:lang w:val="de-DE"/>
              </w:rPr>
            </w:pPr>
            <w:r>
              <w:rPr>
                <w:lang w:val="de-DE"/>
              </w:rPr>
              <w:t>Hinweis: BMG hat mündlich mitgeteilt, dass ab Januar 2023 die Prognose nicht mehr gefördert wird und somit ab da voraussichtlich keine Prognose mehr vorgenommen wird</w:t>
            </w:r>
          </w:p>
          <w:p>
            <w:pPr>
              <w:pStyle w:val="Liste2"/>
            </w:pPr>
            <w:proofErr w:type="spellStart"/>
            <w:r>
              <w:lastRenderedPageBreak/>
              <w:t>Modellierungen</w:t>
            </w:r>
            <w:proofErr w:type="spellEnd"/>
            <w:r>
              <w:t xml:space="preserve"> </w:t>
            </w:r>
          </w:p>
          <w:p>
            <w:pPr>
              <w:pStyle w:val="Liste2"/>
            </w:pPr>
            <w:r>
              <w:t>(nicht berichtet)</w:t>
            </w:r>
          </w:p>
          <w:p>
            <w:pPr>
              <w:pStyle w:val="Liste2"/>
              <w:numPr>
                <w:ilvl w:val="0"/>
                <w:numId w:val="0"/>
              </w:numPr>
              <w:ind w:left="833" w:hanging="360"/>
              <w:rPr>
                <w:lang w:val="de-DE"/>
              </w:rPr>
            </w:pPr>
            <w:r>
              <w:rPr>
                <w:lang w:val="de-DE"/>
              </w:rPr>
              <w:t xml:space="preserve">Info für den Wochenbericht: Rückgang der Fallzahlen in allen Altersgruppen. Rückgang ist möglicherweise im Zusammenhang mit den Herbstferien zu sehen. </w:t>
            </w:r>
            <w:proofErr w:type="spellStart"/>
            <w:r>
              <w:rPr>
                <w:lang w:val="de-DE"/>
              </w:rPr>
              <w:t>Syndromische</w:t>
            </w:r>
            <w:proofErr w:type="spellEnd"/>
            <w:r>
              <w:rPr>
                <w:lang w:val="de-DE"/>
              </w:rPr>
              <w:t xml:space="preserve"> Surveillance zeigt eine starke Last an Atemwegsviren, so dass in nächster Zeit mit einem Fallzahlanstieg auch von COVID-19 Fällen gerechnet werden könnte. Es kam der Vorschlag, zukünftig den Fokus von reinem COVID-19 Bericht auf alle respiratorischen Viren, die aktuell eine starke Rolle spielen, zu erweitern. 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Carlos Correa-Martinez </w:t>
            </w:r>
            <w:r>
              <w:rPr>
                <w:sz w:val="22"/>
                <w:szCs w:val="22"/>
                <w:lang w:val="en-US"/>
              </w:rPr>
              <w:br/>
            </w: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Ute Rexroth</w:t>
            </w: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Muna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Abu Sin</w:t>
            </w: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Stefan Kröger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 Tolksdorf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Ralf </w:t>
            </w:r>
            <w:proofErr w:type="spellStart"/>
            <w:r>
              <w:rPr>
                <w:sz w:val="22"/>
                <w:szCs w:val="22"/>
              </w:rPr>
              <w:t>Dürrwald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Martina Fischer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Update Impfen</w:t>
            </w:r>
            <w:r>
              <w:rPr>
                <w:b/>
                <w:sz w:val="28"/>
              </w:rPr>
              <w:t xml:space="preserve"> </w:t>
            </w:r>
          </w:p>
          <w:p>
            <w:pPr>
              <w:pStyle w:val="Liste1"/>
            </w:pPr>
            <w:r>
              <w:t xml:space="preserve">Folien </w:t>
            </w:r>
            <w:hyperlink r:id="rId17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1"/>
            </w:pPr>
            <w:r>
              <w:t xml:space="preserve">Impfquoten aktuell konstant, ein Anstieg bei der 2. </w:t>
            </w:r>
            <w:proofErr w:type="spellStart"/>
            <w:r>
              <w:t>Boosterimpfung</w:t>
            </w:r>
            <w:proofErr w:type="spellEnd"/>
            <w:r>
              <w:t xml:space="preserve"> in der AG 60+</w:t>
            </w:r>
          </w:p>
          <w:p>
            <w:pPr>
              <w:pStyle w:val="Liste1"/>
            </w:pPr>
            <w:r>
              <w:t>Impfdurchbrüche: Schutz vor schweren Erkrankungen dauert 1 Jahr an</w:t>
            </w:r>
          </w:p>
          <w:p>
            <w:pPr>
              <w:pStyle w:val="Liste1"/>
            </w:pPr>
            <w:r>
              <w:t>COVID-19 Impfung soll ins Regelsystem integriert werden</w:t>
            </w:r>
          </w:p>
          <w:p>
            <w:pPr>
              <w:pStyle w:val="Liste1"/>
            </w:pPr>
            <w:r>
              <w:t>Impfverordnung für Influenza Impfung wurde aus datenschutzrechtlichen Gründen gestoppt</w:t>
            </w:r>
          </w:p>
          <w:p>
            <w:pPr>
              <w:pStyle w:val="2"/>
            </w:pPr>
            <w:r>
              <w:t>STIKO</w:t>
            </w:r>
          </w:p>
          <w:p>
            <w:pPr>
              <w:pStyle w:val="Liste1"/>
            </w:pPr>
            <w:r>
              <w:t xml:space="preserve">Folien </w:t>
            </w:r>
            <w:hyperlink r:id="rId18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1"/>
            </w:pPr>
            <w:r>
              <w:t xml:space="preserve">STIKO Empfehlung für Kinderimpfung: weiterhin keine allgemeine Impfempfehlung, sondern nur für bestimmte Vorerkrankungen. Diabetes und Asthma wurden aus der Liste der relevanten Vorerkrankungen gestrichen. </w:t>
            </w:r>
          </w:p>
          <w:p>
            <w:pPr>
              <w:pStyle w:val="Liste1"/>
            </w:pPr>
            <w:r>
              <w:t>Neue Kann-Empfehlung für Kinder mit Kontakt zu Personen ohne Möglichkeit für eignen Impfschutz</w:t>
            </w:r>
          </w:p>
          <w:p>
            <w:pPr>
              <w:pStyle w:val="Liste1"/>
            </w:pPr>
            <w:r>
              <w:t>nächste STIKO Sitzung am 10.11.2022</w:t>
            </w:r>
          </w:p>
          <w:p>
            <w:pPr>
              <w:spacing w:line="276" w:lineRule="auto"/>
              <w:rPr>
                <w:rStyle w:val="1Zchn"/>
                <w:b w:val="0"/>
                <w:sz w:val="24"/>
              </w:rPr>
            </w:pPr>
            <w:r>
              <w:rPr>
                <w:rStyle w:val="1Zchn"/>
                <w:b w:val="0"/>
                <w:sz w:val="24"/>
              </w:rPr>
              <w:t>Hinweis aus dem Krisenstab: Absatz über Impfen wurde in den Monatsbericht aufgenommen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Jonathan Fischer- Fels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Ole Wichmann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Internationales</w:t>
            </w:r>
            <w:r>
              <w:rPr>
                <w:b/>
                <w:color w:val="FF0000"/>
              </w:rPr>
              <w:t xml:space="preserve"> </w:t>
            </w:r>
          </w:p>
          <w:p>
            <w:pPr>
              <w:pStyle w:val="Liste1"/>
            </w:pPr>
            <w:r>
              <w:t>nicht berichtet</w:t>
            </w:r>
          </w:p>
          <w:p>
            <w:pPr>
              <w:pStyle w:val="Liste3"/>
              <w:numPr>
                <w:ilvl w:val="0"/>
                <w:numId w:val="0"/>
              </w:numPr>
            </w:pPr>
          </w:p>
          <w:p>
            <w:pPr>
              <w:pStyle w:val="Liste3"/>
              <w:numPr>
                <w:ilvl w:val="0"/>
                <w:numId w:val="0"/>
              </w:num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1Zchn"/>
              </w:rPr>
            </w:pPr>
            <w:r>
              <w:rPr>
                <w:rStyle w:val="1Zchn"/>
              </w:rPr>
              <w:t>Update digitale Projekte</w:t>
            </w:r>
          </w:p>
          <w:p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b/>
                <w:i/>
                <w:color w:val="C2D69B" w:themeColor="accent3" w:themeTint="99"/>
              </w:rPr>
            </w:pPr>
            <w:r>
              <w:t>Vorbereitung zur Abschaltung der Hotline, zukünftig Selbstmeldung an das Gesundheitsamt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Wolfgang </w:t>
            </w:r>
            <w:proofErr w:type="spellStart"/>
            <w:r>
              <w:rPr>
                <w:sz w:val="22"/>
                <w:szCs w:val="22"/>
              </w:rPr>
              <w:t>Scheida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Aktuelle Risikobewertung</w:t>
            </w:r>
          </w:p>
          <w:p>
            <w:pPr>
              <w:pStyle w:val="Liste1"/>
            </w:pPr>
            <w:r>
              <w:t xml:space="preserve">Diskussion der Änderungsvorschläge zur Risikobewertung </w:t>
            </w:r>
          </w:p>
          <w:p>
            <w:pPr>
              <w:pStyle w:val="Liste2"/>
            </w:pPr>
            <w:r>
              <w:t>xxx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 3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Expertenbeirat </w:t>
            </w:r>
            <w:r>
              <w:rPr>
                <w:i/>
                <w:color w:val="95B3D7" w:themeColor="accent1" w:themeTint="99"/>
                <w:sz w:val="20"/>
              </w:rPr>
              <w:t>(montags Vorbereitung, mittwochs Nachbereitung)</w:t>
            </w:r>
          </w:p>
          <w:p>
            <w:pPr>
              <w:pStyle w:val="Liste1"/>
            </w:pPr>
            <w:r>
              <w:t xml:space="preserve">  (nicht berichtet)</w:t>
            </w:r>
          </w:p>
          <w:p>
            <w:pPr>
              <w:pStyle w:val="1"/>
              <w:rPr>
                <w:sz w:val="22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Kommunikation</w:t>
            </w:r>
          </w:p>
          <w:p>
            <w:pPr>
              <w:pStyle w:val="2"/>
            </w:pPr>
            <w:r>
              <w:t>BZgA</w:t>
            </w:r>
          </w:p>
          <w:p>
            <w:pPr>
              <w:pStyle w:val="Liste1"/>
            </w:pPr>
            <w:r>
              <w:t xml:space="preserve">Merkblatt zu Long-COVID wurde überarbeitet und auf der Webseite </w:t>
            </w:r>
            <w:hyperlink r:id="rId19" w:history="1">
              <w:r>
                <w:rPr>
                  <w:rStyle w:val="Hyperlink"/>
                </w:rPr>
                <w:t>www.longcovid-info.de</w:t>
              </w:r>
            </w:hyperlink>
            <w:r>
              <w:t xml:space="preserve"> gepostet</w:t>
            </w:r>
          </w:p>
          <w:p>
            <w:pPr>
              <w:pStyle w:val="2"/>
            </w:pPr>
            <w:r>
              <w:t>Presse</w:t>
            </w:r>
          </w:p>
          <w:p>
            <w:pPr>
              <w:pStyle w:val="2"/>
              <w:numPr>
                <w:ilvl w:val="0"/>
                <w:numId w:val="13"/>
              </w:numPr>
              <w:rPr>
                <w:b w:val="0"/>
              </w:rPr>
            </w:pPr>
            <w:r>
              <w:rPr>
                <w:b w:val="0"/>
              </w:rPr>
              <w:t>COVID-Teaser wird ausgetauscht durch ARE-Teaser zusammen mit ARE-Wochenbericht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</w:p>
          <w:p>
            <w:pPr>
              <w:pStyle w:val="2"/>
            </w:pPr>
            <w:r>
              <w:t>P1</w:t>
            </w:r>
          </w:p>
          <w:p>
            <w:pPr>
              <w:pStyle w:val="Liste1"/>
              <w:rPr>
                <w:i/>
              </w:rPr>
            </w:pPr>
            <w:r>
              <w:t>nicht berichtet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BZgA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Andrea </w:t>
            </w:r>
            <w:proofErr w:type="spellStart"/>
            <w:r>
              <w:rPr>
                <w:sz w:val="22"/>
                <w:szCs w:val="22"/>
              </w:rPr>
              <w:t>Rückle</w:t>
            </w:r>
            <w:proofErr w:type="spellEnd"/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Ronja Welchen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RKI-Strategie Fragen</w:t>
            </w:r>
          </w:p>
          <w:p>
            <w:pPr>
              <w:pStyle w:val="2"/>
            </w:pPr>
            <w:r>
              <w:t>Allgemein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2"/>
              <w:rPr>
                <w:i/>
              </w:rPr>
            </w:pPr>
            <w:r>
              <w:t>RKI-intern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Abt. 3</w:t>
            </w:r>
            <w:r>
              <w:rPr>
                <w:sz w:val="22"/>
                <w:szCs w:val="22"/>
                <w:lang w:val="en-GB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1"/>
              <w:rPr>
                <w:b/>
                <w:i/>
              </w:rPr>
            </w:pPr>
            <w:r>
              <w:rPr>
                <w:b/>
                <w:i/>
              </w:rPr>
              <w:t>ToDo1: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  <w:rPr>
                <w:i/>
              </w:rPr>
            </w:pPr>
            <w:r>
              <w:rPr>
                <w:i/>
              </w:rPr>
              <w:t>Dokumente zu COVID-19 in Schulen sollen ins Archiv geschoben werden und stattdessen auf die aktualisierte S3-Leitlinie verwie</w:t>
            </w:r>
            <w:bookmarkStart w:id="1" w:name="_GoBack"/>
            <w:bookmarkEnd w:id="1"/>
            <w:r>
              <w:rPr>
                <w:i/>
              </w:rPr>
              <w:t xml:space="preserve">sen werden (Ronja Wenchel/ Barbara Hauer) 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Labordiagnostik</w:t>
            </w:r>
          </w:p>
          <w:p>
            <w:pPr>
              <w:pStyle w:val="2"/>
            </w:pPr>
            <w:r>
              <w:t>FG17 nicht berichtet</w:t>
            </w:r>
          </w:p>
          <w:p>
            <w:pPr>
              <w:pStyle w:val="Liste1"/>
            </w:pPr>
            <w:r>
              <w:t>Virologisches Sentinel hatte in den letzten 4 Wochen ## Proben, davon:</w:t>
            </w:r>
          </w:p>
          <w:p>
            <w:pPr>
              <w:pStyle w:val="Liste2"/>
            </w:pPr>
            <w:r>
              <w:t># SARS-CoV-2</w:t>
            </w:r>
          </w:p>
          <w:p>
            <w:pPr>
              <w:pStyle w:val="Liste2"/>
            </w:pPr>
            <w:r>
              <w:t>## Rhinovirus</w:t>
            </w:r>
          </w:p>
          <w:p>
            <w:pPr>
              <w:pStyle w:val="Liste2"/>
            </w:pPr>
            <w:r>
              <w:t>## Parainfluenzavirus</w:t>
            </w:r>
          </w:p>
          <w:p>
            <w:pPr>
              <w:pStyle w:val="Liste2"/>
            </w:pPr>
            <w:r>
              <w:t xml:space="preserve">## saisonale (endemische) Coronaviren </w:t>
            </w:r>
          </w:p>
          <w:p>
            <w:pPr>
              <w:pStyle w:val="Liste2"/>
            </w:pPr>
            <w:r>
              <w:t>## Metapneumovirus</w:t>
            </w:r>
          </w:p>
          <w:p>
            <w:pPr>
              <w:pStyle w:val="Liste2"/>
            </w:pPr>
            <w:r>
              <w:t xml:space="preserve">## </w:t>
            </w:r>
            <w:proofErr w:type="spellStart"/>
            <w:r>
              <w:t>Influenzavirus</w:t>
            </w:r>
            <w:proofErr w:type="spellEnd"/>
          </w:p>
          <w:p>
            <w:pPr>
              <w:pStyle w:val="Liste2"/>
            </w:pPr>
            <w:r>
              <w:t xml:space="preserve">Rest </w:t>
            </w:r>
            <w:proofErr w:type="spellStart"/>
            <w:r>
              <w:t>negativ</w:t>
            </w:r>
            <w:proofErr w:type="spellEnd"/>
          </w:p>
          <w:p>
            <w:pPr>
              <w:pStyle w:val="2"/>
            </w:pPr>
            <w:r>
              <w:t>ZBS1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FG17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Klinisches Management/Entlassungsmanagement</w:t>
            </w:r>
          </w:p>
          <w:p>
            <w:pPr>
              <w:pStyle w:val="Liste1"/>
            </w:pPr>
            <w:r>
              <w:t>Sind RKI Empfehlungen zur Isolation in Pflegeheimen und KKH zu streng? AG-Diagnostik hält sie aus fachlicher Sicht für immer noch zutreffend. Kein Aktualisierungsbedarf aus fachlicher Sicht.</w:t>
            </w:r>
          </w:p>
          <w:p>
            <w:pPr>
              <w:pStyle w:val="3"/>
              <w:spacing w:before="0"/>
              <w:ind w:left="1077" w:hanging="357"/>
              <w:rPr>
                <w:b w:val="0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ZBS7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Maßnahmen zum Infektionsschutz</w:t>
            </w:r>
          </w:p>
          <w:p>
            <w:pPr>
              <w:pStyle w:val="Liste1"/>
              <w:rPr>
                <w:i/>
              </w:rPr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FG14 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2"/>
              </w:rPr>
            </w:pPr>
            <w:r>
              <w:t>Surveillance</w:t>
            </w:r>
          </w:p>
          <w:p>
            <w:pPr>
              <w:pStyle w:val="Liste1"/>
            </w:pPr>
            <w:r>
              <w:t>es gibt Probleme beim mobilen Dashboard</w:t>
            </w:r>
          </w:p>
          <w:p>
            <w:pPr>
              <w:pStyle w:val="Liste1"/>
            </w:pPr>
            <w:r>
              <w:t>Da Ministerien aus Energiespargründen zwischen den Jahren geschlossen bleiben, werden in diesem Zeitraum keine Berichte gewünscht</w:t>
            </w:r>
          </w:p>
          <w:p>
            <w:pPr>
              <w:pStyle w:val="Liste1"/>
            </w:pPr>
            <w:r>
              <w:t>Alte Daten (aus 2020) sollen nicht mehr in den Berichten ‚mitgeschleppt‘ werden: dies soll mit FG32 diskutiert werden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32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b/>
                <w:sz w:val="28"/>
              </w:rPr>
            </w:pPr>
            <w:r>
              <w:rPr>
                <w:rStyle w:val="1Zchn"/>
              </w:rPr>
              <w:t>Transport und Grenzübergangsstellen</w:t>
            </w:r>
            <w:r>
              <w:rPr>
                <w:b/>
                <w:sz w:val="28"/>
              </w:rPr>
              <w:t xml:space="preserve"> </w:t>
            </w:r>
          </w:p>
          <w:p>
            <w:pPr>
              <w:pStyle w:val="Liste1"/>
            </w:pPr>
            <w:r>
              <w:t>DEA-Abschaffung geplant. Es ist angedacht, dass RKI Integration in ein europaweites System umsetzten soll, aber es werden datenschutzrechtliche Probleme erwartet, weil System sich auf einem Amazon Server befindet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FG38 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Information aus der Koordinierungsstelle</w:t>
            </w:r>
            <w:r>
              <w:rPr>
                <w:b/>
                <w:sz w:val="28"/>
              </w:rPr>
              <w:t xml:space="preserve"> </w:t>
            </w:r>
          </w:p>
          <w:p>
            <w:pPr>
              <w:pStyle w:val="Liste1"/>
            </w:pPr>
            <w:r>
              <w:t>Koordinierung Erlassbearbeitung soll zwischen 8-19 Uhr erfolgen. Es ist eine Personalreduktion für diese Aufgaben geplant, auch wenn weiterhin sehr viele Erlasse mit sehr kurzer Bearbeitungszeit eingehen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Wichtige Termine</w:t>
            </w:r>
          </w:p>
          <w:p>
            <w:pPr>
              <w:pStyle w:val="Liste1"/>
            </w:pPr>
            <w:r>
              <w:t>HSC-Termin am 11.11.22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Andere Themen</w:t>
            </w:r>
          </w:p>
          <w:p>
            <w:pPr>
              <w:pStyle w:val="Liste1"/>
            </w:pPr>
            <w:r>
              <w:t>Nächste Sitzung: Mittwoch, 23.11.2022, 11:00 Uhr, via Webex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Ende: 12:10 Uhr</w:t>
      </w: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Protokoll der COVID-19-Lage-AG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03CA"/>
    <w:multiLevelType w:val="hybridMultilevel"/>
    <w:tmpl w:val="274A9A94"/>
    <w:lvl w:ilvl="0" w:tplc="04090005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" w15:restartNumberingAfterBreak="0">
    <w:nsid w:val="037554CD"/>
    <w:multiLevelType w:val="hybridMultilevel"/>
    <w:tmpl w:val="FD3A57B2"/>
    <w:lvl w:ilvl="0" w:tplc="04090005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812AE"/>
    <w:multiLevelType w:val="hybridMultilevel"/>
    <w:tmpl w:val="E956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0DBE">
      <w:start w:val="2"/>
      <w:numFmt w:val="bullet"/>
      <w:lvlText w:val="-"/>
      <w:lvlJc w:val="left"/>
      <w:pPr>
        <w:ind w:left="3600" w:hanging="360"/>
      </w:pPr>
      <w:rPr>
        <w:rFonts w:ascii="Cambria" w:eastAsiaTheme="minorHAnsi" w:hAnsi="Cambria" w:cstheme="minorBid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C5A26"/>
    <w:multiLevelType w:val="hybridMultilevel"/>
    <w:tmpl w:val="9858F654"/>
    <w:lvl w:ilvl="0" w:tplc="EB4451E8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7A4C4BB4">
      <w:start w:val="1"/>
      <w:numFmt w:val="bullet"/>
      <w:pStyle w:val="Liste3"/>
      <w:lvlText w:val=""/>
      <w:lvlJc w:val="left"/>
      <w:pPr>
        <w:ind w:left="119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2B397807"/>
    <w:multiLevelType w:val="hybridMultilevel"/>
    <w:tmpl w:val="4DC03620"/>
    <w:lvl w:ilvl="0" w:tplc="D49CFACC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C672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0508DB"/>
    <w:multiLevelType w:val="hybridMultilevel"/>
    <w:tmpl w:val="C6C4C746"/>
    <w:lvl w:ilvl="0" w:tplc="04090005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7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480D63"/>
    <w:multiLevelType w:val="hybridMultilevel"/>
    <w:tmpl w:val="835499DE"/>
    <w:lvl w:ilvl="0" w:tplc="04090005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8AB08AF"/>
    <w:multiLevelType w:val="hybridMultilevel"/>
    <w:tmpl w:val="A0926B72"/>
    <w:lvl w:ilvl="0" w:tplc="71F40AC2">
      <w:start w:val="1"/>
      <w:numFmt w:val="bullet"/>
      <w:pStyle w:val="Liste2"/>
      <w:lvlText w:val="o"/>
      <w:lvlJc w:val="left"/>
      <w:pPr>
        <w:ind w:left="833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A3152"/>
    <w:multiLevelType w:val="hybridMultilevel"/>
    <w:tmpl w:val="9A4619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D3DD1"/>
    <w:multiLevelType w:val="hybridMultilevel"/>
    <w:tmpl w:val="7CB4A6D6"/>
    <w:lvl w:ilvl="0" w:tplc="04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7ABC6017"/>
    <w:multiLevelType w:val="hybridMultilevel"/>
    <w:tmpl w:val="459A72DA"/>
    <w:lvl w:ilvl="0" w:tplc="04090005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9"/>
  </w:num>
  <w:num w:numId="8">
    <w:abstractNumId w:val="13"/>
  </w:num>
  <w:num w:numId="9">
    <w:abstractNumId w:val="8"/>
  </w:num>
  <w:num w:numId="10">
    <w:abstractNumId w:val="1"/>
  </w:num>
  <w:num w:numId="11">
    <w:abstractNumId w:val="6"/>
  </w:num>
  <w:num w:numId="12">
    <w:abstractNumId w:val="12"/>
  </w:num>
  <w:num w:numId="13">
    <w:abstractNumId w:val="11"/>
  </w:num>
  <w:num w:numId="1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Ü1"/>
    <w:basedOn w:val="Standard"/>
    <w:link w:val="1Zchn"/>
    <w:qFormat/>
    <w:pPr>
      <w:spacing w:after="120" w:line="276" w:lineRule="auto"/>
    </w:pPr>
    <w:rPr>
      <w:b/>
      <w:sz w:val="28"/>
    </w:rPr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1Zchn">
    <w:name w:val="Ü1 Zchn"/>
    <w:basedOn w:val="Absatz-Standardschriftart"/>
    <w:link w:val="1"/>
    <w:rPr>
      <w:b/>
      <w:sz w:val="28"/>
    </w:rPr>
  </w:style>
  <w:style w:type="paragraph" w:customStyle="1" w:styleId="3">
    <w:name w:val="Ü3"/>
    <w:basedOn w:val="Listenabsatz"/>
    <w:link w:val="3Zchn"/>
    <w:qFormat/>
    <w:pPr>
      <w:numPr>
        <w:numId w:val="5"/>
      </w:numPr>
      <w:spacing w:before="120" w:after="0"/>
    </w:pPr>
    <w:rPr>
      <w:b/>
      <w:sz w:val="22"/>
      <w:szCs w:val="22"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6"/>
      </w:numPr>
      <w:spacing w:after="0"/>
    </w:pPr>
    <w:rPr>
      <w:sz w:val="22"/>
      <w:szCs w:val="22"/>
    </w:rPr>
  </w:style>
  <w:style w:type="character" w:customStyle="1" w:styleId="3Zchn">
    <w:name w:val="Ü3 Zchn"/>
    <w:basedOn w:val="Absatz-Standardschriftart"/>
    <w:link w:val="3"/>
    <w:rPr>
      <w:b/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numPr>
        <w:numId w:val="7"/>
      </w:numPr>
      <w:spacing w:after="0"/>
    </w:pPr>
    <w:rPr>
      <w:sz w:val="22"/>
      <w:szCs w:val="22"/>
      <w:lang w:val="en-GB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paragraph" w:customStyle="1" w:styleId="Liste3">
    <w:name w:val="Liste3"/>
    <w:basedOn w:val="Listenabsatz"/>
    <w:link w:val="Liste3Zchn"/>
    <w:qFormat/>
    <w:pPr>
      <w:numPr>
        <w:ilvl w:val="1"/>
        <w:numId w:val="6"/>
      </w:numPr>
      <w:spacing w:after="0"/>
    </w:pPr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  <w:lang w:val="en-GB"/>
    </w:rPr>
  </w:style>
  <w:style w:type="paragraph" w:customStyle="1" w:styleId="TagFr">
    <w:name w:val="Tag_Fr"/>
    <w:basedOn w:val="Standard"/>
    <w:link w:val="TagFrZchn"/>
    <w:qFormat/>
    <w:pPr>
      <w:spacing w:after="120" w:line="276" w:lineRule="auto"/>
    </w:pPr>
    <w:rPr>
      <w:b/>
      <w:i/>
      <w:color w:val="8DB3E2" w:themeColor="text2" w:themeTint="66"/>
      <w:sz w:val="22"/>
      <w:szCs w:val="22"/>
    </w:rPr>
  </w:style>
  <w:style w:type="character" w:customStyle="1" w:styleId="Liste3Zchn">
    <w:name w:val="Liste3 Zchn"/>
    <w:basedOn w:val="ListenabsatzZchn"/>
    <w:link w:val="Liste3"/>
    <w:rPr>
      <w:sz w:val="22"/>
      <w:szCs w:val="22"/>
    </w:rPr>
  </w:style>
  <w:style w:type="paragraph" w:customStyle="1" w:styleId="TagMi">
    <w:name w:val="Tag_Mi"/>
    <w:basedOn w:val="Standard"/>
    <w:link w:val="TagMiZchn"/>
    <w:qFormat/>
    <w:pPr>
      <w:spacing w:after="0"/>
      <w:ind w:left="113"/>
    </w:pPr>
    <w:rPr>
      <w:b/>
      <w:i/>
      <w:color w:val="D99594" w:themeColor="accent2" w:themeTint="99"/>
    </w:rPr>
  </w:style>
  <w:style w:type="character" w:customStyle="1" w:styleId="TagFrZchn">
    <w:name w:val="Tag_Fr Zchn"/>
    <w:basedOn w:val="Absatz-Standardschriftart"/>
    <w:link w:val="TagFr"/>
    <w:rPr>
      <w:b/>
      <w:i/>
      <w:color w:val="8DB3E2" w:themeColor="text2" w:themeTint="66"/>
      <w:sz w:val="22"/>
      <w:szCs w:val="22"/>
    </w:rPr>
  </w:style>
  <w:style w:type="paragraph" w:customStyle="1" w:styleId="TagMo">
    <w:name w:val="Tag_Mo"/>
    <w:basedOn w:val="Standard"/>
    <w:link w:val="TagMoZchn"/>
    <w:qFormat/>
    <w:pPr>
      <w:spacing w:after="0" w:line="276" w:lineRule="auto"/>
    </w:pPr>
    <w:rPr>
      <w:b/>
      <w:i/>
      <w:color w:val="C2D69B" w:themeColor="accent3" w:themeTint="99"/>
    </w:rPr>
  </w:style>
  <w:style w:type="character" w:customStyle="1" w:styleId="TagMiZchn">
    <w:name w:val="Tag_Mi Zchn"/>
    <w:basedOn w:val="ListenabsatzZchn"/>
    <w:link w:val="TagMi"/>
    <w:rPr>
      <w:b/>
      <w:i/>
      <w:color w:val="D99594" w:themeColor="accent2" w:themeTint="99"/>
    </w:rPr>
  </w:style>
  <w:style w:type="paragraph" w:customStyle="1" w:styleId="ToDo">
    <w:name w:val="ToDo"/>
    <w:basedOn w:val="Standard"/>
    <w:link w:val="ToDoZchn"/>
    <w:qFormat/>
    <w:pPr>
      <w:spacing w:before="120" w:after="120"/>
    </w:pPr>
    <w:rPr>
      <w:i/>
      <w:sz w:val="22"/>
      <w:szCs w:val="22"/>
    </w:rPr>
  </w:style>
  <w:style w:type="character" w:customStyle="1" w:styleId="TagMoZchn">
    <w:name w:val="Tag_Mo Zchn"/>
    <w:basedOn w:val="Absatz-Standardschriftart"/>
    <w:link w:val="TagMo"/>
    <w:rPr>
      <w:b/>
      <w:i/>
      <w:color w:val="C2D69B" w:themeColor="accent3" w:themeTint="99"/>
    </w:rPr>
  </w:style>
  <w:style w:type="character" w:customStyle="1" w:styleId="ToDoZchn">
    <w:name w:val="ToDo Zchn"/>
    <w:basedOn w:val="Absatz-Standardschriftart"/>
    <w:link w:val="ToDo"/>
    <w:rPr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3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Testzahlerfassung_ARS_2022_11-09.pptx" TargetMode="External"/><Relationship Id="rId18" Type="http://schemas.openxmlformats.org/officeDocument/2006/relationships/hyperlink" Target="Impf-Update_Lage-AG_09-11-22.pptx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LageNational_2022-11-09_draft.pptx" TargetMode="External"/><Relationship Id="rId17" Type="http://schemas.openxmlformats.org/officeDocument/2006/relationships/hyperlink" Target="Impf-Update_Lage-AG_09-11-22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2022-11-09_Intensivregister_SPoCK.ppt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VID-19_internat.%20Lage_2022-11-09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syndrom-ARE-SARI-COVID_bis_KW44_2022_f&#252;r-Krisenstab.pptx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longcovid-info.d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2022-11_09_LageAG-VOC.ppt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B6C37-3FC8-467F-BB70-0F54960B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1184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Banerji, Sangeeta</cp:lastModifiedBy>
  <cp:revision>19</cp:revision>
  <cp:lastPrinted>2020-05-06T16:43:00Z</cp:lastPrinted>
  <dcterms:created xsi:type="dcterms:W3CDTF">2022-11-10T09:53:00Z</dcterms:created>
  <dcterms:modified xsi:type="dcterms:W3CDTF">2022-11-10T18:29:00Z</dcterms:modified>
</cp:coreProperties>
</file>