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el"/>
      </w:pPr>
      <w:r>
        <w:t>Laborbasierte Surveillance von SARS-CoV-2</w:t>
      </w:r>
    </w:p>
    <w:p>
      <w:pPr>
        <w:pStyle w:val="berschrift2"/>
      </w:pPr>
      <w:bookmarkStart w:id="0" w:name="wochenbericht-vom-13.04.2023"/>
      <w:r>
        <w:t>Wochenbericht vom 13.04.2023</w:t>
      </w:r>
    </w:p>
    <w:p>
      <w:pPr>
        <w:pStyle w:val="FirstParagraph"/>
      </w:pPr>
      <w:r>
        <w:t xml:space="preserve">Datenstand vom </w:t>
      </w:r>
      <w:r>
        <w:rPr>
          <w:b/>
          <w:bCs/>
        </w:rPr>
        <w:t>13.04.2023</w:t>
      </w:r>
      <w:r>
        <w:t>.</w:t>
      </w:r>
    </w:p>
    <w:p>
      <w:pPr>
        <w:pStyle w:val="Textkrper"/>
      </w:pPr>
      <w:r>
        <w:t>Für diesen Wochenbericht wurden die Daten berücksichtigt, die bis zum Datenschluss am Dienstag der Berichtswoche an das Robert Koch-Institut übermittelt wurden. Durch Nachübermittlungen können sich die Ergebnisse im nachfolgenden Wochenbericht ändern; dies betrifft insbesondere die jetzt letzte, im Folgebericht vorletzte Kalenderwoche.</w:t>
      </w:r>
    </w:p>
    <w:p>
      <w:r>
        <w:br w:type="page"/>
      </w:r>
    </w:p>
    <w:p>
      <w:pPr>
        <w:pStyle w:val="berschrift2"/>
      </w:pPr>
      <w:bookmarkStart w:id="1" w:name="Xee37fbc62ed5b8a823359ab57657bbee68498bb"/>
      <w:bookmarkEnd w:id="0"/>
      <w:r>
        <w:lastRenderedPageBreak/>
        <w:t>Auswertungen zu durchgeführten SARS-CoV-2-PCR-Testungen in den letzten 12 Kalenderwochen</w:t>
      </w:r>
    </w:p>
    <w:p>
      <w:pPr>
        <w:pStyle w:val="FirstParagraph"/>
      </w:pPr>
      <w:r>
        <w:t xml:space="preserve">Dargestellt werden zum Zeitpunkt des Datenstandes übermittelte Testungen mit Entnahmedatum </w:t>
      </w:r>
      <w:bookmarkStart w:id="2" w:name="_GoBack"/>
      <w:r>
        <w:t xml:space="preserve">in den letzten </w:t>
      </w:r>
      <w:r>
        <w:rPr>
          <w:b/>
          <w:bCs/>
        </w:rPr>
        <w:t>12</w:t>
      </w:r>
      <w:r>
        <w:t xml:space="preserve"> Kalenderwochen (</w:t>
      </w:r>
      <w:r>
        <w:rPr>
          <w:b/>
          <w:bCs/>
        </w:rPr>
        <w:t>2023-W3-2023-W14</w:t>
      </w:r>
      <w:r>
        <w:t xml:space="preserve">). In diesem Zeitraum wurden </w:t>
      </w:r>
      <w:r>
        <w:rPr>
          <w:b/>
          <w:bCs/>
        </w:rPr>
        <w:t>1.309.557</w:t>
      </w:r>
      <w:r>
        <w:t xml:space="preserve"> Testungen mit Ergebnis von insgesamt </w:t>
      </w:r>
      <w:bookmarkEnd w:id="2"/>
      <w:r>
        <w:rPr>
          <w:b/>
          <w:bCs/>
        </w:rPr>
        <w:t>75</w:t>
      </w:r>
      <w:r>
        <w:t xml:space="preserve"> teilnehmenden Laboren übermittelt. Hiervon waren </w:t>
      </w:r>
      <w:r>
        <w:rPr>
          <w:b/>
          <w:bCs/>
        </w:rPr>
        <w:t>280.419</w:t>
      </w:r>
      <w:r>
        <w:t xml:space="preserve"> (</w:t>
      </w:r>
      <w:r>
        <w:rPr>
          <w:b/>
          <w:bCs/>
        </w:rPr>
        <w:t>21.4%</w:t>
      </w:r>
      <w:r>
        <w:t>) positiv.</w:t>
      </w:r>
    </w:p>
    <w:p>
      <w:pPr>
        <w:pStyle w:val="berschrift3"/>
      </w:pPr>
      <w:bookmarkStart w:id="3" w:name="Xdbbb30cd55a2d9f4bf53fda43714439cf52c261"/>
      <w:r>
        <w:t>Abbildung 1: Anzahl der SARS-CoV-2-PCR-Testungen und Positivenanteil nach Kalenderwoche der Probenentnahme und Ergebnis</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5-1.png"/>
                    <pic:cNvPicPr>
                      <a:picLocks noChangeAspect="1" noChangeArrowheads="1"/>
                    </pic:cNvPicPr>
                  </pic:nvPicPr>
                  <pic:blipFill>
                    <a:blip r:embed="rId7"/>
                    <a:stretch>
                      <a:fillRect/>
                    </a:stretch>
                  </pic:blipFill>
                  <pic:spPr bwMode="auto">
                    <a:xfrm>
                      <a:off x="0" y="0"/>
                      <a:ext cx="5842000" cy="3245555"/>
                    </a:xfrm>
                    <a:prstGeom prst="rect">
                      <a:avLst/>
                    </a:prstGeom>
                    <a:noFill/>
                    <a:ln w="9525">
                      <a:noFill/>
                      <a:headEnd/>
                      <a:tailEnd/>
                    </a:ln>
                  </pic:spPr>
                </pic:pic>
              </a:graphicData>
            </a:graphic>
          </wp:inline>
        </w:drawing>
      </w:r>
    </w:p>
    <w:p>
      <w:r>
        <w:br w:type="page"/>
      </w:r>
    </w:p>
    <w:p>
      <w:pPr>
        <w:pStyle w:val="berschrift3"/>
      </w:pPr>
      <w:bookmarkStart w:id="4" w:name="X3d38d390735393d11f9036bee730c42ef520c31"/>
      <w:bookmarkEnd w:id="3"/>
      <w:r>
        <w:lastRenderedPageBreak/>
        <w:t>Abbildung 2: Anteil der positiven Testungen von allen Testungen nach Kalenderwoche der Probenentnahme und nach Organisationstyp unter Berücksichtigung der Anzahl der Testungen</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6-1.png"/>
                    <pic:cNvPicPr>
                      <a:picLocks noChangeAspect="1" noChangeArrowheads="1"/>
                    </pic:cNvPicPr>
                  </pic:nvPicPr>
                  <pic:blipFill>
                    <a:blip r:embed="rId8"/>
                    <a:stretch>
                      <a:fillRect/>
                    </a:stretch>
                  </pic:blipFill>
                  <pic:spPr bwMode="auto">
                    <a:xfrm>
                      <a:off x="0" y="0"/>
                      <a:ext cx="5842000" cy="3245555"/>
                    </a:xfrm>
                    <a:prstGeom prst="rect">
                      <a:avLst/>
                    </a:prstGeom>
                    <a:noFill/>
                    <a:ln w="9525">
                      <a:noFill/>
                      <a:headEnd/>
                      <a:tailEnd/>
                    </a:ln>
                  </pic:spPr>
                </pic:pic>
              </a:graphicData>
            </a:graphic>
          </wp:inline>
        </w:drawing>
      </w:r>
    </w:p>
    <w:p>
      <w:pPr>
        <w:pStyle w:val="CaptionTable"/>
      </w:pPr>
      <w:r>
        <w:t>* Die Kategorie Andere umfasst Testungen von weiteren Einsendern wie Gesundheitsämtern, anderen Laboren, Teststationen für SARS-CoV-2 und nicht klassifizierten Einsendern</w:t>
      </w:r>
    </w:p>
    <w:p>
      <w:r>
        <w:br w:type="page"/>
      </w:r>
    </w:p>
    <w:p>
      <w:pPr>
        <w:pStyle w:val="berschrift3"/>
      </w:pPr>
      <w:bookmarkStart w:id="5" w:name="X961711845cc61e9dc5c383b8a66f59d5b070ab9"/>
      <w:bookmarkEnd w:id="4"/>
      <w:r>
        <w:lastRenderedPageBreak/>
        <w:t>Abbildung 3: Anteil der positiven Testungen von allen Testungen nach Kalenderwoche der Probenentnahme und nach Bundesland unter Berücksichtigung der Anzahl der Testungen</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7-1.png"/>
                    <pic:cNvPicPr>
                      <a:picLocks noChangeAspect="1" noChangeArrowheads="1"/>
                    </pic:cNvPicPr>
                  </pic:nvPicPr>
                  <pic:blipFill>
                    <a:blip r:embed="rId9"/>
                    <a:stretch>
                      <a:fillRect/>
                    </a:stretch>
                  </pic:blipFill>
                  <pic:spPr bwMode="auto">
                    <a:xfrm>
                      <a:off x="0" y="0"/>
                      <a:ext cx="5842000" cy="3245555"/>
                    </a:xfrm>
                    <a:prstGeom prst="rect">
                      <a:avLst/>
                    </a:prstGeom>
                    <a:noFill/>
                    <a:ln w="9525">
                      <a:noFill/>
                      <a:headEnd/>
                      <a:tailEnd/>
                    </a:ln>
                  </pic:spPr>
                </pic:pic>
              </a:graphicData>
            </a:graphic>
          </wp:inline>
        </w:drawing>
      </w:r>
    </w:p>
    <w:p>
      <w:pPr>
        <w:pStyle w:val="CaptionTable"/>
      </w:pPr>
      <w:r>
        <w:t>Die Punktgröße spiegelt die Anzahl der insgesamt getesteten Proben pro Woche wider. Bei der Interpretation der Daten ist zu berücksichtigen, dass die Repräsentativität der Daten aktuell nicht für jedes Bundesland gegeben ist.</w:t>
      </w:r>
    </w:p>
    <w:p>
      <w:r>
        <w:br w:type="page"/>
      </w:r>
    </w:p>
    <w:p>
      <w:pPr>
        <w:pStyle w:val="berschrift3"/>
      </w:pPr>
      <w:bookmarkStart w:id="6" w:name="Xcd0cf63d05f0977b6ac3741629fb546cbbd37e3"/>
      <w:bookmarkEnd w:id="5"/>
      <w:r>
        <w:lastRenderedPageBreak/>
        <w:t>Abbildung 4: Testverzug – Anzahl der Tage zwischen Probenentnahme und SARS-CoV-2-PCR-Testergebnis im Zeitverlauf pro Kalenderwoche</w:t>
      </w:r>
    </w:p>
    <w:p>
      <w:pPr>
        <w:pStyle w:val="CaptionTable"/>
      </w:pPr>
      <w:r>
        <w:t>laborbasierte Surveillance SARS-CoV-2, 2023-W7-2023-W14, Datenstand 13.04.2023</w:t>
      </w:r>
    </w:p>
    <w:p>
      <w:pPr>
        <w:pStyle w:val="Textkrper"/>
      </w:pPr>
      <w:r>
        <w:rPr>
          <w:noProof/>
        </w:rPr>
        <w:drawing>
          <wp:inline distT="0" distB="0" distL="0" distR="0">
            <wp:extent cx="5842000" cy="324555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9-1.png"/>
                    <pic:cNvPicPr>
                      <a:picLocks noChangeAspect="1" noChangeArrowheads="1"/>
                    </pic:cNvPicPr>
                  </pic:nvPicPr>
                  <pic:blipFill>
                    <a:blip r:embed="rId10"/>
                    <a:stretch>
                      <a:fillRect/>
                    </a:stretch>
                  </pic:blipFill>
                  <pic:spPr bwMode="auto">
                    <a:xfrm>
                      <a:off x="0" y="0"/>
                      <a:ext cx="5842000" cy="3245555"/>
                    </a:xfrm>
                    <a:prstGeom prst="rect">
                      <a:avLst/>
                    </a:prstGeom>
                    <a:noFill/>
                    <a:ln w="9525">
                      <a:noFill/>
                      <a:headEnd/>
                      <a:tailEnd/>
                    </a:ln>
                  </pic:spPr>
                </pic:pic>
              </a:graphicData>
            </a:graphic>
          </wp:inline>
        </w:drawing>
      </w:r>
    </w:p>
    <w:p>
      <w:r>
        <w:br w:type="page"/>
      </w:r>
    </w:p>
    <w:p>
      <w:pPr>
        <w:pStyle w:val="berschrift1"/>
      </w:pPr>
      <w:bookmarkStart w:id="7" w:name="auswertung-zu-den-getesteten-personen"/>
      <w:bookmarkEnd w:id="6"/>
      <w:bookmarkEnd w:id="1"/>
      <w:r>
        <w:lastRenderedPageBreak/>
        <w:t>Auswertung zu den getesteten Personen</w:t>
      </w:r>
    </w:p>
    <w:p>
      <w:pPr>
        <w:pStyle w:val="FirstParagraph"/>
      </w:pPr>
      <w:r>
        <w:t xml:space="preserve">Aus dem Berichtszeitraum der letzten 12 Kalenderwochen liegen Daten zu SARS-CoV-2-PCR-Testungen von </w:t>
      </w:r>
      <w:r>
        <w:rPr>
          <w:b/>
          <w:bCs/>
        </w:rPr>
        <w:t>941.923</w:t>
      </w:r>
      <w:r>
        <w:t xml:space="preserve"> Personen vor.</w:t>
      </w:r>
    </w:p>
    <w:p>
      <w:pPr>
        <w:pStyle w:val="CaptionTable"/>
      </w:pPr>
      <w:r>
        <w:t xml:space="preserve">Altersangabe fehlt bei </w:t>
      </w:r>
      <w:r>
        <w:rPr>
          <w:b/>
          <w:bCs/>
        </w:rPr>
        <w:t>1161</w:t>
      </w:r>
      <w:r>
        <w:t xml:space="preserve"> Personen ( 0.1% ) .</w:t>
      </w:r>
    </w:p>
    <w:p>
      <w:pPr>
        <w:pStyle w:val="berschrift3"/>
      </w:pPr>
      <w:bookmarkStart w:id="8" w:name="X475ba3fd9e000bd90721c537f4b6a33e0aae906"/>
      <w:r>
        <w:t>Abbildung 5: Anzahl der Personen mit SARS-CoV-2-PCR-Testung nach Geschlecht und Kalenderwoche der Probenentnahme</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13-1.png"/>
                    <pic:cNvPicPr>
                      <a:picLocks noChangeAspect="1" noChangeArrowheads="1"/>
                    </pic:cNvPicPr>
                  </pic:nvPicPr>
                  <pic:blipFill>
                    <a:blip r:embed="rId11"/>
                    <a:stretch>
                      <a:fillRect/>
                    </a:stretch>
                  </pic:blipFill>
                  <pic:spPr bwMode="auto">
                    <a:xfrm>
                      <a:off x="0" y="0"/>
                      <a:ext cx="5842000" cy="3245555"/>
                    </a:xfrm>
                    <a:prstGeom prst="rect">
                      <a:avLst/>
                    </a:prstGeom>
                    <a:noFill/>
                    <a:ln w="9525">
                      <a:noFill/>
                      <a:headEnd/>
                      <a:tailEnd/>
                    </a:ln>
                  </pic:spPr>
                </pic:pic>
              </a:graphicData>
            </a:graphic>
          </wp:inline>
        </w:drawing>
      </w:r>
    </w:p>
    <w:p>
      <w:r>
        <w:br w:type="page"/>
      </w:r>
    </w:p>
    <w:p>
      <w:pPr>
        <w:pStyle w:val="berschrift3"/>
      </w:pPr>
      <w:bookmarkStart w:id="9" w:name="X0bbc2d4f0a8469462a5276c26132df5f23525ac"/>
      <w:bookmarkEnd w:id="8"/>
      <w:r>
        <w:lastRenderedPageBreak/>
        <w:t>Abbildung 6: Anzahl der Personen mit SARS-CoV-2-PCR-Testung nach Altersgruppe und Kalenderwoche der Probenentnahme</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14-1.png"/>
                    <pic:cNvPicPr>
                      <a:picLocks noChangeAspect="1" noChangeArrowheads="1"/>
                    </pic:cNvPicPr>
                  </pic:nvPicPr>
                  <pic:blipFill>
                    <a:blip r:embed="rId12"/>
                    <a:stretch>
                      <a:fillRect/>
                    </a:stretch>
                  </pic:blipFill>
                  <pic:spPr bwMode="auto">
                    <a:xfrm>
                      <a:off x="0" y="0"/>
                      <a:ext cx="5842000" cy="3245555"/>
                    </a:xfrm>
                    <a:prstGeom prst="rect">
                      <a:avLst/>
                    </a:prstGeom>
                    <a:noFill/>
                    <a:ln w="9525">
                      <a:noFill/>
                      <a:headEnd/>
                      <a:tailEnd/>
                    </a:ln>
                  </pic:spPr>
                </pic:pic>
              </a:graphicData>
            </a:graphic>
          </wp:inline>
        </w:drawing>
      </w:r>
    </w:p>
    <w:p>
      <w:r>
        <w:br w:type="page"/>
      </w:r>
    </w:p>
    <w:p>
      <w:pPr>
        <w:pStyle w:val="berschrift3"/>
      </w:pPr>
      <w:bookmarkStart w:id="10" w:name="X53e5a3f9591164d9485942dcc31e7b93d81cab5"/>
      <w:bookmarkEnd w:id="9"/>
      <w:r>
        <w:lastRenderedPageBreak/>
        <w:t>Abbildung 7: Anteil der Personen mit positiver SARS-CoV-2-PCR-Testung nach Altersgruppe und Kalenderwoche der Probenentnahme</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15-1.png"/>
                    <pic:cNvPicPr>
                      <a:picLocks noChangeAspect="1" noChangeArrowheads="1"/>
                    </pic:cNvPicPr>
                  </pic:nvPicPr>
                  <pic:blipFill>
                    <a:blip r:embed="rId13"/>
                    <a:stretch>
                      <a:fillRect/>
                    </a:stretch>
                  </pic:blipFill>
                  <pic:spPr bwMode="auto">
                    <a:xfrm>
                      <a:off x="0" y="0"/>
                      <a:ext cx="5842000" cy="3245555"/>
                    </a:xfrm>
                    <a:prstGeom prst="rect">
                      <a:avLst/>
                    </a:prstGeom>
                    <a:noFill/>
                    <a:ln w="9525">
                      <a:noFill/>
                      <a:headEnd/>
                      <a:tailEnd/>
                    </a:ln>
                  </pic:spPr>
                </pic:pic>
              </a:graphicData>
            </a:graphic>
          </wp:inline>
        </w:drawing>
      </w:r>
    </w:p>
    <w:p>
      <w:r>
        <w:br w:type="page"/>
      </w:r>
    </w:p>
    <w:p>
      <w:pPr>
        <w:pStyle w:val="berschrift3"/>
      </w:pPr>
      <w:bookmarkStart w:id="11" w:name="Xc83e18b710bf18c19194cd3d08cbf76ff69ea91"/>
      <w:bookmarkEnd w:id="10"/>
      <w:r>
        <w:lastRenderedPageBreak/>
        <w:t>Abbildung 8: Anzahl der Personen mit SARS-CoV-2-PCR-Testung pro 100.000 Einwohner nach Altersgruppe und Kalenderwoche</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16-1.png"/>
                    <pic:cNvPicPr>
                      <a:picLocks noChangeAspect="1" noChangeArrowheads="1"/>
                    </pic:cNvPicPr>
                  </pic:nvPicPr>
                  <pic:blipFill>
                    <a:blip r:embed="rId14"/>
                    <a:stretch>
                      <a:fillRect/>
                    </a:stretch>
                  </pic:blipFill>
                  <pic:spPr bwMode="auto">
                    <a:xfrm>
                      <a:off x="0" y="0"/>
                      <a:ext cx="5842000" cy="3245555"/>
                    </a:xfrm>
                    <a:prstGeom prst="rect">
                      <a:avLst/>
                    </a:prstGeom>
                    <a:noFill/>
                    <a:ln w="9525">
                      <a:noFill/>
                      <a:headEnd/>
                      <a:tailEnd/>
                    </a:ln>
                  </pic:spPr>
                </pic:pic>
              </a:graphicData>
            </a:graphic>
          </wp:inline>
        </w:drawing>
      </w:r>
    </w:p>
    <w:p>
      <w:pPr>
        <w:pStyle w:val="CaptionTable"/>
      </w:pPr>
      <w:r>
        <w:t>Bei der Interpretation der Inzidenzen ist zu beachten, dass die Daten keine Vollerfassung darstellen und wahrscheinlich jüngere Altersgruppen etwas schwächer und ältere Altersgruppen etwas stärker repräsentiert sind.</w:t>
      </w:r>
    </w:p>
    <w:p>
      <w:r>
        <w:br w:type="page"/>
      </w:r>
    </w:p>
    <w:p>
      <w:pPr>
        <w:pStyle w:val="berschrift3"/>
      </w:pPr>
      <w:bookmarkStart w:id="12" w:name="X866a3feb46ba7abddbb8543aa7a517d5d998e69"/>
      <w:bookmarkEnd w:id="11"/>
      <w:r>
        <w:lastRenderedPageBreak/>
        <w:t>Abbildung 9: Anzahl der Personen mit positiver SARS-CoV-2-PCR-Testung pro 100.000 Einwohner nach Altersgruppe und Kalenderwoche</w:t>
      </w:r>
    </w:p>
    <w:p>
      <w:pPr>
        <w:pStyle w:val="CaptionTable"/>
      </w:pPr>
      <w:r>
        <w:t>laborbasierte Surveillance SARS-CoV-2, 2023-W3-2023-W14, Datenstand 13.04.2023</w:t>
      </w:r>
    </w:p>
    <w:p>
      <w:pPr>
        <w:pStyle w:val="Textkrper"/>
      </w:pPr>
      <w:r>
        <w:rPr>
          <w:noProof/>
        </w:rPr>
        <w:drawing>
          <wp:inline distT="0" distB="0" distL="0" distR="0">
            <wp:extent cx="5842000" cy="324555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scratch/Projekte/FG37/SARS-COV-2/fig_temp/unnamed-chunk-17-1.png"/>
                    <pic:cNvPicPr>
                      <a:picLocks noChangeAspect="1" noChangeArrowheads="1"/>
                    </pic:cNvPicPr>
                  </pic:nvPicPr>
                  <pic:blipFill>
                    <a:blip r:embed="rId15"/>
                    <a:stretch>
                      <a:fillRect/>
                    </a:stretch>
                  </pic:blipFill>
                  <pic:spPr bwMode="auto">
                    <a:xfrm>
                      <a:off x="0" y="0"/>
                      <a:ext cx="5842000" cy="3245555"/>
                    </a:xfrm>
                    <a:prstGeom prst="rect">
                      <a:avLst/>
                    </a:prstGeom>
                    <a:noFill/>
                    <a:ln w="9525">
                      <a:noFill/>
                      <a:headEnd/>
                      <a:tailEnd/>
                    </a:ln>
                  </pic:spPr>
                </pic:pic>
              </a:graphicData>
            </a:graphic>
          </wp:inline>
        </w:drawing>
      </w:r>
    </w:p>
    <w:p>
      <w:pPr>
        <w:pStyle w:val="CaptionTable"/>
      </w:pPr>
      <w:r>
        <w:t>Bei der Interpretation der Inzidenzen ist zu beachten, dass die Daten keine Vollerfassung darstellen und wahrscheinlich jüngere Altersgruppen etwas schwächer und ältere Altersgruppen etwas stärker repräsentiert sind.</w:t>
      </w:r>
    </w:p>
    <w:p>
      <w:pPr>
        <w:pStyle w:val="Formatvorlage1"/>
      </w:pPr>
      <w:r>
        <w:t>Wir danken allen Laboren, die Daten zu SARS-CoV-2-Testungen übermitteln und damit zu einer Beurteilung der Lage beitragen.</w:t>
      </w:r>
    </w:p>
    <w:bookmarkEnd w:id="12"/>
    <w:bookmarkEnd w:id="7"/>
    <w:sectPr>
      <w:headerReference w:type="default" r:id="rId16"/>
      <w:footerReference w:type="default" r:id="rId17"/>
      <w:pgSz w:w="12240" w:h="15840"/>
      <w:pgMar w:top="1191" w:right="1610" w:bottom="1021"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542"/>
      <w:gridCol w:w="1886"/>
    </w:tblGrid>
    <w:sdt>
      <w:sdtPr>
        <w:rPr>
          <w:rFonts w:eastAsiaTheme="majorEastAsia" w:cstheme="majorBidi"/>
          <w:sz w:val="20"/>
          <w:szCs w:val="20"/>
        </w:rPr>
        <w:id w:val="-1542429048"/>
        <w:docPartObj>
          <w:docPartGallery w:val="Page Numbers (Bottom of Page)"/>
          <w:docPartUnique/>
        </w:docPartObj>
      </w:sdtPr>
      <w:sdtEndPr>
        <w:rPr>
          <w:rFonts w:eastAsiaTheme="minorHAnsi" w:cstheme="minorBidi"/>
        </w:rPr>
      </w:sdtEndPr>
      <w:sdtContent>
        <w:tr>
          <w:trPr>
            <w:trHeight w:val="727"/>
          </w:trPr>
          <w:tc>
            <w:tcPr>
              <w:tcW w:w="4000" w:type="pct"/>
              <w:tcBorders>
                <w:right w:val="triple" w:sz="4" w:space="0" w:color="4F81BD" w:themeColor="accent1"/>
              </w:tcBorders>
            </w:tcPr>
            <w:p>
              <w:pPr>
                <w:tabs>
                  <w:tab w:val="left" w:pos="620"/>
                  <w:tab w:val="center" w:pos="4320"/>
                </w:tabs>
                <w:rPr>
                  <w:rFonts w:eastAsiaTheme="majorEastAsia" w:cstheme="majorBidi"/>
                  <w:sz w:val="20"/>
                  <w:szCs w:val="20"/>
                  <w:lang w:val="de-DE"/>
                </w:rPr>
              </w:pPr>
              <w:r>
                <w:rPr>
                  <w:rFonts w:eastAsiaTheme="majorEastAsia" w:cstheme="majorBidi"/>
                  <w:bCs/>
                  <w:sz w:val="20"/>
                  <w:szCs w:val="20"/>
                  <w:lang w:val="de-DE"/>
                </w:rPr>
                <w:t>Laborbasierte Surveillance von SARS-CoV-2</w:t>
              </w:r>
            </w:p>
            <w:p>
              <w:pPr>
                <w:tabs>
                  <w:tab w:val="left" w:pos="620"/>
                  <w:tab w:val="center" w:pos="4320"/>
                </w:tabs>
                <w:jc w:val="right"/>
                <w:rPr>
                  <w:rFonts w:eastAsiaTheme="majorEastAsia" w:cstheme="majorBidi"/>
                  <w:sz w:val="20"/>
                  <w:szCs w:val="20"/>
                  <w:lang w:val="de-DE"/>
                </w:rPr>
              </w:pPr>
            </w:p>
          </w:tc>
          <w:tc>
            <w:tcPr>
              <w:tcW w:w="1000" w:type="pct"/>
              <w:tcBorders>
                <w:left w:val="triple" w:sz="4" w:space="0" w:color="4F81BD" w:themeColor="accent1"/>
              </w:tcBorders>
            </w:tcPr>
            <w:p>
              <w:pPr>
                <w:tabs>
                  <w:tab w:val="left" w:pos="1490"/>
                </w:tabs>
                <w:rPr>
                  <w:rFonts w:eastAsiaTheme="majorEastAsia" w:cstheme="majorBidi"/>
                  <w:sz w:val="20"/>
                  <w:szCs w:val="20"/>
                </w:rPr>
              </w:pPr>
              <w:r>
                <w:rPr>
                  <w:sz w:val="20"/>
                  <w:szCs w:val="20"/>
                </w:rPr>
                <w:fldChar w:fldCharType="begin"/>
              </w:r>
              <w:r>
                <w:rPr>
                  <w:sz w:val="20"/>
                  <w:szCs w:val="20"/>
                </w:rPr>
                <w:instrText>PAGE    \* MERGEFORMAT</w:instrText>
              </w:r>
              <w:r>
                <w:rPr>
                  <w:sz w:val="20"/>
                  <w:szCs w:val="20"/>
                </w:rPr>
                <w:fldChar w:fldCharType="separate"/>
              </w:r>
              <w:r>
                <w:rPr>
                  <w:noProof/>
                  <w:sz w:val="20"/>
                  <w:szCs w:val="20"/>
                  <w:lang w:val="de-DE"/>
                </w:rPr>
                <w:t>9</w:t>
              </w:r>
              <w:r>
                <w:rPr>
                  <w:sz w:val="20"/>
                  <w:szCs w:val="20"/>
                </w:rPr>
                <w:fldChar w:fldCharType="end"/>
              </w:r>
            </w:p>
          </w:tc>
        </w:tr>
      </w:sdtContent>
    </w:sdt>
  </w:tbl>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ind w:firstLine="720"/>
    </w:pPr>
    <w:r>
      <w:tab/>
    </w:r>
    <w:r>
      <w:tab/>
    </w:r>
    <w:r>
      <w:rPr>
        <w:noProof/>
        <w:lang w:val="de-DE" w:eastAsia="de-DE"/>
      </w:rPr>
      <w:drawing>
        <wp:inline distT="0" distB="0" distL="0" distR="0">
          <wp:extent cx="1772920" cy="5886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2920" cy="588645"/>
                  </a:xfrm>
                  <a:prstGeom prst="rect">
                    <a:avLst/>
                  </a:prstGeom>
                  <a:noFill/>
                  <a:ln>
                    <a:noFill/>
                  </a:ln>
                </pic:spPr>
              </pic:pic>
            </a:graphicData>
          </a:graphic>
        </wp:inline>
      </w:drawing>
    </w: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16868A5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BBCAEEB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0DC9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AE0A97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D6CBDF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E9CFC5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43418B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A1C7A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BC299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AE85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47CFE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1A79A5"/>
    <w:multiLevelType w:val="hybridMultilevel"/>
    <w:tmpl w:val="10B8E9C6"/>
    <w:lvl w:ilvl="0" w:tplc="CC8E14B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0D382F"/>
    <w:multiLevelType w:val="hybridMultilevel"/>
    <w:tmpl w:val="4E9E96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1AE401"/>
    <w:multiLevelType w:val="multilevel"/>
    <w:tmpl w:val="7FE2784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418D73EB"/>
    <w:multiLevelType w:val="hybridMultilevel"/>
    <w:tmpl w:val="2C3EB1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227E1C"/>
    <w:multiLevelType w:val="hybridMultilevel"/>
    <w:tmpl w:val="323220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EF63D81"/>
    <w:multiLevelType w:val="hybridMultilevel"/>
    <w:tmpl w:val="AC80590C"/>
    <w:lvl w:ilvl="0" w:tplc="F81AA3F0">
      <w:numFmt w:val="bullet"/>
      <w:lvlText w:val=""/>
      <w:lvlJc w:val="left"/>
      <w:pPr>
        <w:ind w:left="840" w:hanging="360"/>
      </w:pPr>
      <w:rPr>
        <w:rFonts w:ascii="Symbol" w:eastAsiaTheme="minorHAnsi" w:hAnsi="Symbol" w:cstheme="minorBidi"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17" w15:restartNumberingAfterBreak="0">
    <w:nsid w:val="6BEF0BBF"/>
    <w:multiLevelType w:val="hybridMultilevel"/>
    <w:tmpl w:val="A37E8C38"/>
    <w:lvl w:ilvl="0" w:tplc="C606906A">
      <w:numFmt w:val="bullet"/>
      <w:lvlText w:val=""/>
      <w:lvlJc w:val="left"/>
      <w:pPr>
        <w:ind w:left="720" w:hanging="360"/>
      </w:pPr>
      <w:rPr>
        <w:rFonts w:ascii="Symbol" w:eastAsiaTheme="majorEastAsia" w:hAnsi="Symbol"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1"/>
  </w:num>
  <w:num w:numId="4">
    <w:abstractNumId w:val="12"/>
  </w:num>
  <w:num w:numId="5">
    <w:abstractNumId w:val="15"/>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3"/>
  </w:num>
  <w:num w:numId="17">
    <w:abstractNumId w:val="0"/>
  </w:num>
  <w:num w:numId="18">
    <w:abstractNumId w:val="0"/>
  </w:num>
  <w:num w:numId="19">
    <w:abstractNumId w:val="0"/>
  </w:num>
  <w:num w:numId="20">
    <w:abstractNumId w:val="16"/>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7BD97-FB3F-407D-9AE9-39213A8E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Theme="majorHAnsi" w:hAnsiTheme="majorHAnsi"/>
    </w:rPr>
  </w:style>
  <w:style w:type="paragraph" w:styleId="berschrift1">
    <w:name w:val="heading 1"/>
    <w:basedOn w:val="Standard"/>
    <w:next w:val="Textkrper"/>
    <w:uiPriority w:val="9"/>
    <w:qFormat/>
    <w:pPr>
      <w:keepNext/>
      <w:keepLines/>
      <w:spacing w:before="480" w:after="0"/>
      <w:outlineLvl w:val="0"/>
    </w:pPr>
    <w:rPr>
      <w:rFonts w:eastAsiaTheme="majorEastAsia" w:cstheme="majorBidi"/>
      <w:b/>
      <w:bCs/>
      <w:color w:val="345A8A" w:themeColor="accent1" w:themeShade="B5"/>
      <w:sz w:val="32"/>
      <w:szCs w:val="32"/>
    </w:rPr>
  </w:style>
  <w:style w:type="paragraph" w:styleId="berschrift2">
    <w:name w:val="heading 2"/>
    <w:basedOn w:val="Standard"/>
    <w:next w:val="Textkrper"/>
    <w:uiPriority w:val="9"/>
    <w:unhideWhenUsed/>
    <w:qFormat/>
    <w:pPr>
      <w:keepNext/>
      <w:keepLines/>
      <w:spacing w:before="200" w:after="0"/>
      <w:outlineLvl w:val="1"/>
    </w:pPr>
    <w:rPr>
      <w:rFonts w:eastAsiaTheme="majorEastAsia" w:cstheme="majorBidi"/>
      <w:b/>
      <w:bCs/>
      <w:color w:val="4F81BD" w:themeColor="accent1"/>
      <w:sz w:val="32"/>
      <w:szCs w:val="32"/>
    </w:rPr>
  </w:style>
  <w:style w:type="paragraph" w:styleId="berschrift3">
    <w:name w:val="heading 3"/>
    <w:basedOn w:val="Standard"/>
    <w:next w:val="Textkrper"/>
    <w:uiPriority w:val="9"/>
    <w:unhideWhenUsed/>
    <w:qFormat/>
    <w:pPr>
      <w:keepNext/>
      <w:keepLines/>
      <w:spacing w:before="360" w:after="120"/>
      <w:outlineLvl w:val="2"/>
    </w:pPr>
    <w:rPr>
      <w:rFonts w:eastAsiaTheme="majorEastAsia" w:cstheme="majorBidi"/>
      <w:b/>
      <w:bCs/>
      <w:color w:val="4F81BD" w:themeColor="accent1"/>
    </w:rPr>
  </w:style>
  <w:style w:type="paragraph" w:styleId="berschrift4">
    <w:name w:val="heading 4"/>
    <w:basedOn w:val="Standard"/>
    <w:next w:val="Textkrper"/>
    <w:uiPriority w:val="9"/>
    <w:unhideWhenUsed/>
    <w:qFormat/>
    <w:pPr>
      <w:keepNext/>
      <w:keepLines/>
      <w:spacing w:before="200" w:after="0"/>
      <w:outlineLvl w:val="3"/>
    </w:pPr>
    <w:rPr>
      <w:rFonts w:eastAsiaTheme="majorEastAsia" w:cstheme="majorBidi"/>
      <w:b/>
      <w:bCs/>
      <w:color w:val="4F81BD" w:themeColor="accent1"/>
    </w:rPr>
  </w:style>
  <w:style w:type="paragraph" w:styleId="berschrift5">
    <w:name w:val="heading 5"/>
    <w:basedOn w:val="Standard"/>
    <w:next w:val="Textkrper"/>
    <w:uiPriority w:val="9"/>
    <w:unhideWhenUsed/>
    <w:qFormat/>
    <w:pPr>
      <w:keepNext/>
      <w:keepLines/>
      <w:spacing w:before="200" w:after="0"/>
      <w:outlineLvl w:val="4"/>
    </w:pPr>
    <w:rPr>
      <w:rFonts w:eastAsiaTheme="majorEastAsia" w:cstheme="majorBidi"/>
      <w:i/>
      <w:iCs/>
      <w:color w:val="4F81BD" w:themeColor="accent1"/>
    </w:rPr>
  </w:style>
  <w:style w:type="paragraph" w:styleId="berschrift6">
    <w:name w:val="heading 6"/>
    <w:basedOn w:val="Standard"/>
    <w:next w:val="Textkrper"/>
    <w:uiPriority w:val="9"/>
    <w:unhideWhenUsed/>
    <w:qFormat/>
    <w:pPr>
      <w:keepNext/>
      <w:keepLines/>
      <w:spacing w:before="200" w:after="0"/>
      <w:outlineLvl w:val="5"/>
    </w:pPr>
    <w:rPr>
      <w:rFonts w:eastAsiaTheme="majorEastAsia" w:cstheme="majorBidi"/>
      <w:color w:val="4F81BD" w:themeColor="accent1"/>
    </w:rPr>
  </w:style>
  <w:style w:type="paragraph" w:styleId="berschrift7">
    <w:name w:val="heading 7"/>
    <w:basedOn w:val="Standard"/>
    <w:next w:val="Textkrper"/>
    <w:uiPriority w:val="9"/>
    <w:unhideWhenUsed/>
    <w:qFormat/>
    <w:pPr>
      <w:keepNext/>
      <w:keepLines/>
      <w:spacing w:before="200" w:after="0"/>
      <w:outlineLvl w:val="6"/>
    </w:pPr>
    <w:rPr>
      <w:rFonts w:eastAsiaTheme="majorEastAsia" w:cstheme="majorBidi"/>
      <w:color w:val="4F81BD" w:themeColor="accent1"/>
    </w:rPr>
  </w:style>
  <w:style w:type="paragraph" w:styleId="berschrift8">
    <w:name w:val="heading 8"/>
    <w:basedOn w:val="Standard"/>
    <w:next w:val="Textkrper"/>
    <w:uiPriority w:val="9"/>
    <w:unhideWhenUsed/>
    <w:qFormat/>
    <w:pPr>
      <w:keepNext/>
      <w:keepLines/>
      <w:spacing w:before="200" w:after="0"/>
      <w:outlineLvl w:val="7"/>
    </w:pPr>
    <w:rPr>
      <w:rFonts w:eastAsiaTheme="majorEastAsia" w:cstheme="majorBidi"/>
      <w:color w:val="4F81BD" w:themeColor="accent1"/>
    </w:rPr>
  </w:style>
  <w:style w:type="paragraph" w:styleId="berschrift9">
    <w:name w:val="heading 9"/>
    <w:basedOn w:val="Standard"/>
    <w:next w:val="Textkrper"/>
    <w:uiPriority w:val="9"/>
    <w:unhideWhenUsed/>
    <w:qFormat/>
    <w:pPr>
      <w:keepNext/>
      <w:keepLines/>
      <w:spacing w:before="200" w:after="0"/>
      <w:outlineLvl w:val="8"/>
    </w:pPr>
    <w:rPr>
      <w:rFonts w:eastAsiaTheme="majorEastAsia"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pPr>
      <w:spacing w:before="180" w:after="180"/>
    </w:pPr>
  </w:style>
  <w:style w:type="paragraph" w:customStyle="1" w:styleId="FirstParagraph">
    <w:name w:val="First Paragraph"/>
    <w:basedOn w:val="Textkrper"/>
    <w:next w:val="Textkrper"/>
    <w:qFormat/>
  </w:style>
  <w:style w:type="paragraph" w:customStyle="1" w:styleId="Compact">
    <w:name w:val="Compact"/>
    <w:basedOn w:val="Textkrper"/>
    <w:qFormat/>
    <w:pPr>
      <w:spacing w:before="36" w:after="36"/>
    </w:pPr>
  </w:style>
  <w:style w:type="paragraph" w:styleId="Titel">
    <w:name w:val="Title"/>
    <w:basedOn w:val="Standard"/>
    <w:next w:val="Textkrper"/>
    <w:qFormat/>
    <w:pPr>
      <w:keepNext/>
      <w:keepLines/>
      <w:spacing w:before="480" w:after="360"/>
    </w:pPr>
    <w:rPr>
      <w:rFonts w:eastAsiaTheme="majorEastAsia" w:cstheme="majorBidi"/>
      <w:b/>
      <w:bCs/>
      <w:color w:val="345A8A" w:themeColor="accent1" w:themeShade="B5"/>
      <w:sz w:val="36"/>
      <w:szCs w:val="36"/>
    </w:rPr>
  </w:style>
  <w:style w:type="paragraph" w:styleId="Untertitel">
    <w:name w:val="Subtitle"/>
    <w:basedOn w:val="Titel"/>
    <w:next w:val="Textkrper"/>
    <w:qFormat/>
    <w:pPr>
      <w:spacing w:before="240"/>
    </w:pPr>
    <w:rPr>
      <w:sz w:val="30"/>
      <w:szCs w:val="30"/>
    </w:rPr>
  </w:style>
  <w:style w:type="paragraph" w:customStyle="1" w:styleId="Author">
    <w:name w:val="Author"/>
    <w:next w:val="Textkrper"/>
    <w:qFormat/>
    <w:pPr>
      <w:keepNext/>
      <w:keepLines/>
      <w:jc w:val="center"/>
    </w:pPr>
  </w:style>
  <w:style w:type="paragraph" w:styleId="Datum">
    <w:name w:val="Date"/>
    <w:next w:val="Textkrper"/>
    <w:qFormat/>
    <w:pPr>
      <w:keepNext/>
      <w:keepLines/>
      <w:jc w:val="center"/>
    </w:pPr>
  </w:style>
  <w:style w:type="paragraph" w:customStyle="1" w:styleId="Abstract">
    <w:name w:val="Abstract"/>
    <w:basedOn w:val="Standard"/>
    <w:next w:val="Textkrper"/>
    <w:qFormat/>
    <w:pPr>
      <w:keepNext/>
      <w:keepLines/>
      <w:spacing w:before="300" w:after="300"/>
    </w:pPr>
    <w:rPr>
      <w:sz w:val="20"/>
      <w:szCs w:val="20"/>
    </w:rPr>
  </w:style>
  <w:style w:type="paragraph" w:styleId="Literaturverzeichnis">
    <w:name w:val="Bibliography"/>
    <w:basedOn w:val="Standard"/>
    <w:qFormat/>
  </w:style>
  <w:style w:type="paragraph" w:styleId="Blocktext">
    <w:name w:val="Block Text"/>
    <w:basedOn w:val="Textkrper"/>
    <w:next w:val="Textkrper"/>
    <w:uiPriority w:val="9"/>
    <w:unhideWhenUsed/>
    <w:qFormat/>
    <w:pPr>
      <w:spacing w:before="100" w:after="100"/>
    </w:pPr>
    <w:rPr>
      <w:rFonts w:eastAsiaTheme="majorEastAsia" w:cstheme="majorBidi"/>
      <w:bCs/>
      <w:sz w:val="20"/>
      <w:szCs w:val="20"/>
    </w:rPr>
  </w:style>
  <w:style w:type="paragraph" w:styleId="Funotentext">
    <w:name w:val="footnote text"/>
    <w:basedOn w:val="Stand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link w:val="SourceCode"/>
    <w:rPr>
      <w:rFonts w:ascii="Consolas" w:hAnsi="Consolas"/>
      <w:sz w:val="22"/>
    </w:rPr>
  </w:style>
  <w:style w:type="character" w:styleId="Funotenzeichen">
    <w:name w:val="footnote reference"/>
    <w:basedOn w:val="BeschriftungZchn"/>
    <w:rPr>
      <w:vertAlign w:val="superscript"/>
    </w:rPr>
  </w:style>
  <w:style w:type="character" w:styleId="Hyperlink">
    <w:name w:val="Hyperlink"/>
    <w:basedOn w:val="BeschriftungZchn"/>
    <w:rPr>
      <w:color w:val="4F81BD" w:themeColor="accent1"/>
    </w:rPr>
  </w:style>
  <w:style w:type="paragraph" w:styleId="Inhaltsverzeichnisberschrift">
    <w:name w:val="TOC Heading"/>
    <w:basedOn w:val="berschrift1"/>
    <w:next w:val="Textkrper"/>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Standard"/>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Sprechblasentext">
    <w:name w:val="Balloon Text"/>
    <w:basedOn w:val="Standard"/>
    <w:link w:val="SprechblasentextZchn"/>
    <w:pPr>
      <w:spacing w:after="0"/>
    </w:pPr>
    <w:rPr>
      <w:rFonts w:ascii="Tahoma" w:hAnsi="Tahoma" w:cs="Tahoma"/>
      <w:sz w:val="16"/>
      <w:szCs w:val="16"/>
    </w:rPr>
  </w:style>
  <w:style w:type="character" w:customStyle="1" w:styleId="SprechblasentextZchn">
    <w:name w:val="Sprechblasentext Zchn"/>
    <w:basedOn w:val="Absatz-Standardschriftart"/>
    <w:link w:val="Sprechblasentext"/>
    <w:rPr>
      <w:rFonts w:ascii="Tahoma" w:hAnsi="Tahoma" w:cs="Tahoma"/>
      <w:sz w:val="16"/>
      <w:szCs w:val="16"/>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basedOn w:val="KommentartextZchn"/>
    <w:link w:val="Kommentarthema"/>
    <w:rPr>
      <w:b/>
      <w:bCs/>
      <w:sz w:val="20"/>
      <w:szCs w:val="20"/>
    </w:rPr>
  </w:style>
  <w:style w:type="paragraph" w:styleId="Kopfzeile">
    <w:name w:val="header"/>
    <w:basedOn w:val="Standard"/>
    <w:link w:val="KopfzeileZchn"/>
    <w:uiPriority w:val="99"/>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HelleSchattierung-Akzent1">
    <w:name w:val="Light Shading Accent 1"/>
    <w:basedOn w:val="NormaleTabelle"/>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rarbeitung">
    <w:name w:val="Revision"/>
    <w:hidden/>
    <w:pPr>
      <w:spacing w:after="0"/>
    </w:pPr>
  </w:style>
  <w:style w:type="character" w:customStyle="1" w:styleId="TextkrperZchn">
    <w:name w:val="Textkörper Zchn"/>
    <w:basedOn w:val="Absatz-Standardschriftart"/>
    <w:link w:val="Textkrper"/>
  </w:style>
  <w:style w:type="paragraph" w:customStyle="1" w:styleId="DankLabor">
    <w:name w:val="DankLabor"/>
    <w:basedOn w:val="Textkrper"/>
    <w:link w:val="DankLaborZchn"/>
    <w:qFormat/>
    <w:rPr>
      <w:rFonts w:eastAsiaTheme="majorEastAsia" w:cstheme="majorHAnsi"/>
      <w:b/>
      <w:bCs/>
      <w:color w:val="345A8A" w:themeColor="accent1" w:themeShade="B5"/>
      <w:sz w:val="32"/>
      <w:szCs w:val="32"/>
      <w:lang w:val="de-DE"/>
    </w:rPr>
  </w:style>
  <w:style w:type="character" w:customStyle="1" w:styleId="DankLaborZchn">
    <w:name w:val="DankLabor Zchn"/>
    <w:basedOn w:val="TextkrperZchn"/>
    <w:link w:val="DankLabor"/>
    <w:rPr>
      <w:rFonts w:asciiTheme="majorHAnsi" w:eastAsiaTheme="majorEastAsia" w:hAnsiTheme="majorHAnsi" w:cstheme="majorHAnsi"/>
      <w:b/>
      <w:bCs/>
      <w:color w:val="345A8A" w:themeColor="accent1" w:themeShade="B5"/>
      <w:sz w:val="32"/>
      <w:szCs w:val="32"/>
      <w:lang w:val="de-DE"/>
    </w:rPr>
  </w:style>
  <w:style w:type="paragraph" w:customStyle="1" w:styleId="Formatvorlage1">
    <w:name w:val="Formatvorlage1"/>
    <w:basedOn w:val="Untertitel"/>
    <w:qFormat/>
    <w:pPr>
      <w:spacing w:before="600"/>
      <w:jc w:val="center"/>
    </w:pPr>
  </w:style>
  <w:style w:type="paragraph" w:customStyle="1" w:styleId="CaptionTable">
    <w:name w:val="CaptionTable"/>
    <w:basedOn w:val="Textkrper"/>
    <w:qFormat/>
    <w:rPr>
      <w:rFonts w:cstheme="majorHAnsi"/>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13001">
      <w:bodyDiv w:val="1"/>
      <w:marLeft w:val="0"/>
      <w:marRight w:val="0"/>
      <w:marTop w:val="0"/>
      <w:marBottom w:val="0"/>
      <w:divBdr>
        <w:top w:val="none" w:sz="0" w:space="0" w:color="auto"/>
        <w:left w:val="none" w:sz="0" w:space="0" w:color="auto"/>
        <w:bottom w:val="none" w:sz="0" w:space="0" w:color="auto"/>
        <w:right w:val="none" w:sz="0" w:space="0" w:color="auto"/>
      </w:divBdr>
    </w:div>
    <w:div w:id="971180960">
      <w:bodyDiv w:val="1"/>
      <w:marLeft w:val="0"/>
      <w:marRight w:val="0"/>
      <w:marTop w:val="0"/>
      <w:marBottom w:val="0"/>
      <w:divBdr>
        <w:top w:val="none" w:sz="0" w:space="0" w:color="auto"/>
        <w:left w:val="none" w:sz="0" w:space="0" w:color="auto"/>
        <w:bottom w:val="none" w:sz="0" w:space="0" w:color="auto"/>
        <w:right w:val="none" w:sz="0" w:space="0" w:color="auto"/>
      </w:divBdr>
    </w:div>
    <w:div w:id="1127510363">
      <w:bodyDiv w:val="1"/>
      <w:marLeft w:val="0"/>
      <w:marRight w:val="0"/>
      <w:marTop w:val="0"/>
      <w:marBottom w:val="0"/>
      <w:divBdr>
        <w:top w:val="none" w:sz="0" w:space="0" w:color="auto"/>
        <w:left w:val="none" w:sz="0" w:space="0" w:color="auto"/>
        <w:bottom w:val="none" w:sz="0" w:space="0" w:color="auto"/>
        <w:right w:val="none" w:sz="0" w:space="0" w:color="auto"/>
      </w:divBdr>
    </w:div>
    <w:div w:id="1521040850">
      <w:bodyDiv w:val="1"/>
      <w:marLeft w:val="0"/>
      <w:marRight w:val="0"/>
      <w:marTop w:val="0"/>
      <w:marBottom w:val="0"/>
      <w:divBdr>
        <w:top w:val="none" w:sz="0" w:space="0" w:color="auto"/>
        <w:left w:val="none" w:sz="0" w:space="0" w:color="auto"/>
        <w:bottom w:val="none" w:sz="0" w:space="0" w:color="auto"/>
        <w:right w:val="none" w:sz="0" w:space="0" w:color="auto"/>
      </w:divBdr>
    </w:div>
    <w:div w:id="1544781735">
      <w:bodyDiv w:val="1"/>
      <w:marLeft w:val="0"/>
      <w:marRight w:val="0"/>
      <w:marTop w:val="0"/>
      <w:marBottom w:val="0"/>
      <w:divBdr>
        <w:top w:val="none" w:sz="0" w:space="0" w:color="auto"/>
        <w:left w:val="none" w:sz="0" w:space="0" w:color="auto"/>
        <w:bottom w:val="none" w:sz="0" w:space="0" w:color="auto"/>
        <w:right w:val="none" w:sz="0" w:space="0" w:color="auto"/>
      </w:divBdr>
    </w:div>
    <w:div w:id="1578174874">
      <w:bodyDiv w:val="1"/>
      <w:marLeft w:val="0"/>
      <w:marRight w:val="0"/>
      <w:marTop w:val="0"/>
      <w:marBottom w:val="0"/>
      <w:divBdr>
        <w:top w:val="none" w:sz="0" w:space="0" w:color="auto"/>
        <w:left w:val="none" w:sz="0" w:space="0" w:color="auto"/>
        <w:bottom w:val="none" w:sz="0" w:space="0" w:color="auto"/>
        <w:right w:val="none" w:sz="0" w:space="0" w:color="auto"/>
      </w:divBdr>
    </w:div>
    <w:div w:id="1956403647">
      <w:bodyDiv w:val="1"/>
      <w:marLeft w:val="0"/>
      <w:marRight w:val="0"/>
      <w:marTop w:val="0"/>
      <w:marBottom w:val="0"/>
      <w:divBdr>
        <w:top w:val="none" w:sz="0" w:space="0" w:color="auto"/>
        <w:left w:val="none" w:sz="0" w:space="0" w:color="auto"/>
        <w:bottom w:val="none" w:sz="0" w:space="0" w:color="auto"/>
        <w:right w:val="none" w:sz="0" w:space="0" w:color="auto"/>
      </w:divBdr>
    </w:div>
    <w:div w:id="2037196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537</Words>
  <Characters>3387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Laborbasierte Surveillance von SARS-CoV-2</vt:lpstr>
    </vt:vector>
  </TitlesOfParts>
  <Company>Robert Koch-Institut</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Laborbasierte Surveillance von SARS-CoV-2</dc:title>
  <dc:creator>Haller, Sebastian</dc:creator>
  <cp:keywords/>
  <cp:lastModifiedBy>Haller, Sebastian</cp:lastModifiedBy>
  <cp:revision>2</cp:revision>
  <dcterms:created xsi:type="dcterms:W3CDTF">2023-04-26T09:41:00Z</dcterms:created>
  <dcterms:modified xsi:type="dcterms:W3CDTF">2023-04-26T09:41:00Z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g_height">
    <vt:lpwstr>5</vt:lpwstr>
  </property>
  <property fmtid="{D5CDD505-2E9C-101B-9397-08002B2CF9AE}" pid="3" name="fig_width">
    <vt:lpwstr>9</vt:lpwstr>
  </property>
  <property fmtid="{D5CDD505-2E9C-101B-9397-08002B2CF9AE}" pid="4" name="output">
    <vt:lpwstr/>
  </property>
</Properties>
</file>