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r>
        <w:rPr>
          <w:rFonts w:ascii="Times New Roman" w:eastAsia="Times New Roman" w:hAnsi="Times New Roman" w:cs="Times New Roman"/>
          <w:sz w:val="24"/>
          <w:szCs w:val="24"/>
          <w:lang w:eastAsia="de-DE"/>
        </w:rPr>
        <w:t>02.02.2023</w:t>
      </w:r>
      <w:r>
        <w:rPr>
          <w:rFonts w:ascii="Times New Roman" w:eastAsia="Times New Roman" w:hAnsi="Times New Roman" w:cs="Times New Roman"/>
          <w:i/>
          <w:iCs/>
          <w:sz w:val="24"/>
          <w:szCs w:val="24"/>
          <w:lang w:eastAsia="de-DE"/>
        </w:rPr>
        <w:t>: Herabstufung auf „gering“; Kürzungen, redaktionelle Anpassungen.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gering</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ein.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 Häufigkeit schwerer Erkrankungen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und Ressourcenbelastung des Gesundheitswesens durch COVID-19 sind deutlich zurückgegangen.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der Bevölkerung. Der Anteil schwerer Erkrankungen und Todesfälle ist jedoch nicht mehr so hoch wie in früheren Erkrankungswellen der COVID-19-Pandemie. </w:t>
      </w:r>
      <w:r>
        <w:rPr>
          <w:rFonts w:ascii="Times New Roman" w:eastAsia="Times New Roman" w:hAnsi="Times New Roman" w:cs="Times New Roman"/>
          <w:bCs/>
          <w:sz w:val="24"/>
          <w:szCs w:val="24"/>
          <w:lang w:eastAsia="de-DE"/>
        </w:rPr>
        <w:t>Das größte Risiko für schwere Erkrankungen betrifft nach-wie-vor Menschen höheren Alters, mit Vorerkrankungen oder unzureichendem Immunschutz. Zur Vermeidung von Ausbrüchen soll insbesondere der Eintrag von Infektionen in Alten- und Pflegeheime und in Krankenhäuser sollte daher soweit wie möglich vermieden bzw. frühzeitig erkannt werden</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Symptomen einer neu auftretenden Atemwegserkrankung wie z.B. Schnupfen, Halsschmerzen oder Husten wird – unabhängig vom Impfstatus und Erregernachweis – weiterhin empfohlen, Kontakte zu meiden und bei Bedarf die hausärztliche Praxis zu kontaktieren. Diese Empfehlung gilt für alle akuten Atemwegserkrankungen.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gegen COVID-19 hat maßgeblich zur Senkung der Krankheitslast beigetragen und bietet einen guten Schutz vor schwerer Erkrankung und Hospitalisierung durch COVID-19. Die Schließung von Impflücken und Auffrischimpfungen entsprechend den STIKO-Empfehlungen (</w:t>
      </w:r>
      <w:hyperlink r:id="rId5"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weiterhin wichtig.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und zirkuliert weiterhin (auf geringem Niveau) in der Bevölkerung. Die Übertragung durch Tröpfchen und Aerosole spielt </w:t>
      </w:r>
      <w:r>
        <w:rPr>
          <w:rFonts w:ascii="Times New Roman" w:eastAsia="Times New Roman" w:hAnsi="Times New Roman" w:cs="Times New Roman"/>
          <w:sz w:val="24"/>
          <w:szCs w:val="24"/>
          <w:lang w:eastAsia="de-DE"/>
        </w:rPr>
        <w:t>v.a. in Innenräumen</w:t>
      </w:r>
      <w:r>
        <w:rPr>
          <w:rFonts w:ascii="Times New Roman" w:eastAsia="Times New Roman" w:hAnsi="Times New Roman" w:cs="Times New Roman"/>
          <w:sz w:val="24"/>
          <w:szCs w:val="24"/>
          <w:lang w:eastAsia="de-DE"/>
        </w:rPr>
        <w:t xml:space="preserve"> eine besondere Rolle.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Das Risiko, an COVID-19 zu versterben, ist deutlich zurückgegangen. Dennoch kommt es weiterhin zu Todesfällen. Die Wahrscheinlichkeit für schwere und tödliche Krankheitsverläufe steigt mit zunehmendem Alter und bei bestehenden Vorerkrankungen. Es kann jedoch auch ohne bekannte Vorerkrankungen und anderen Risikofaktoren zu schweren oder lebensbedrohlichen Krankheitsverläufen kommen. Langzeitfolgen (Long-COVID-19)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durch COVID-19 ist aktuell gering. Saisonal trägt die epidemiologische Situation durch andere ARE-Erreger, u.a. RSV und Influenza zur Belastung des Gesundheitssystems bei.</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aktuellen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w:t>
        </w:r>
        <w:bookmarkStart w:id="0" w:name="_GoBack"/>
        <w:bookmarkEnd w:id="0"/>
        <w:r>
          <w:rPr>
            <w:rFonts w:ascii="Times New Roman" w:eastAsia="Times New Roman" w:hAnsi="Times New Roman" w:cs="Times New Roman"/>
            <w:color w:val="0000FF"/>
            <w:sz w:val="24"/>
            <w:szCs w:val="24"/>
            <w:u w:val="single"/>
            <w:lang w:eastAsia="de-DE"/>
          </w:rPr>
          <w:t>i</w:t>
        </w:r>
        <w:r>
          <w:rPr>
            <w:rFonts w:ascii="Times New Roman" w:eastAsia="Times New Roman" w:hAnsi="Times New Roman" w:cs="Times New Roman"/>
            <w:color w:val="0000FF"/>
            <w:sz w:val="24"/>
            <w:szCs w:val="24"/>
            <w:u w:val="single"/>
            <w:lang w:eastAsia="de-DE"/>
          </w:rPr>
          <w:t>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Wochenberichte und Pandemieradar</w:t>
        </w:r>
      </w:hyperlink>
    </w:p>
    <w:p>
      <w:pPr>
        <w:spacing w:before="100" w:beforeAutospacing="1" w:after="100" w:afterAutospacing="1" w:line="240" w:lineRule="auto"/>
      </w:pPr>
      <w:r>
        <w:rPr>
          <w:rFonts w:ascii="Times New Roman" w:eastAsia="Times New Roman" w:hAnsi="Times New Roman" w:cs="Times New Roman"/>
          <w:sz w:val="24"/>
          <w:szCs w:val="24"/>
          <w:lang w:eastAsia="de-DE"/>
        </w:rPr>
        <w:t>Stand: 24.05.2023</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0701E"/>
    <w:multiLevelType w:val="multilevel"/>
    <w:tmpl w:val="EBF2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A20A2"/>
    <w:multiLevelType w:val="multilevel"/>
    <w:tmpl w:val="42F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E8940-F00C-4636-9BA0-9B02DB78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0648">
      <w:bodyDiv w:val="1"/>
      <w:marLeft w:val="0"/>
      <w:marRight w:val="0"/>
      <w:marTop w:val="0"/>
      <w:marBottom w:val="0"/>
      <w:divBdr>
        <w:top w:val="none" w:sz="0" w:space="0" w:color="auto"/>
        <w:left w:val="none" w:sz="0" w:space="0" w:color="auto"/>
        <w:bottom w:val="none" w:sz="0" w:space="0" w:color="auto"/>
        <w:right w:val="none" w:sz="0" w:space="0" w:color="auto"/>
      </w:divBdr>
      <w:divsChild>
        <w:div w:id="1109274990">
          <w:marLeft w:val="0"/>
          <w:marRight w:val="0"/>
          <w:marTop w:val="0"/>
          <w:marBottom w:val="0"/>
          <w:divBdr>
            <w:top w:val="none" w:sz="0" w:space="0" w:color="auto"/>
            <w:left w:val="none" w:sz="0" w:space="0" w:color="auto"/>
            <w:bottom w:val="none" w:sz="0" w:space="0" w:color="auto"/>
            <w:right w:val="none" w:sz="0" w:space="0" w:color="auto"/>
          </w:divBdr>
        </w:div>
        <w:div w:id="177066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Gesamt.html" TargetMode="Externa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nn=13490888" TargetMode="External"/><Relationship Id="rId5" Type="http://schemas.openxmlformats.org/officeDocument/2006/relationships/hyperlink" Target="https://www.rki.de/DE/Content/Infekt/Impfen/ImpfungenAZ/COVID-19/Impfempfehlung-Zusfassung.html?nn=134908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2023-05-24T10:18:00Z</dcterms:created>
  <dcterms:modified xsi:type="dcterms:W3CDTF">2023-05-24T10:20:00Z</dcterms:modified>
</cp:coreProperties>
</file>