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r>
        <w:rPr>
          <w:rFonts w:ascii="Times New Roman" w:eastAsia="Times New Roman" w:hAnsi="Times New Roman" w:cs="Times New Roman"/>
          <w:sz w:val="24"/>
          <w:szCs w:val="24"/>
          <w:lang w:eastAsia="de-DE"/>
        </w:rPr>
        <w:t>02.02.2023</w:t>
      </w:r>
      <w:r>
        <w:rPr>
          <w:rFonts w:ascii="Times New Roman" w:eastAsia="Times New Roman" w:hAnsi="Times New Roman" w:cs="Times New Roman"/>
          <w:i/>
          <w:iCs/>
          <w:sz w:val="24"/>
          <w:szCs w:val="24"/>
          <w:lang w:eastAsia="de-DE"/>
        </w:rPr>
        <w:t>: Herabstufung auf „niedrig“; Kürzungen, redaktionelle Anpassungen.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niedrig</w:t>
      </w:r>
      <w:r>
        <w:rPr>
          <w:rFonts w:ascii="Times New Roman" w:eastAsia="Times New Roman" w:hAnsi="Times New Roman" w:cs="Times New Roman"/>
          <w:sz w:val="24"/>
          <w:szCs w:val="24"/>
          <w:lang w:eastAsia="de-DE"/>
        </w:rPr>
        <w:t xml:space="preserve"> ein.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Übertragung, Krankheitsschwere und Ressourcenbelastung des Gesundheitswesens durch COVID-19 sind deutlich zurückgegangen.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Der Anteil schwerer Erkrankungen und Todesfälle ist jedoch nicht mehr so hoch wie in früheren Erkrankungswellen der COVID-19-Pandemie. </w:t>
      </w:r>
      <w:r>
        <w:rPr>
          <w:rFonts w:ascii="Times New Roman" w:eastAsia="Times New Roman" w:hAnsi="Times New Roman" w:cs="Times New Roman"/>
          <w:bCs/>
          <w:sz w:val="24"/>
          <w:szCs w:val="24"/>
          <w:lang w:eastAsia="de-DE"/>
        </w:rPr>
        <w:t>Das größte Risiko für schwere Erkrankungen betrifft nach-wie-vor Menschen höheren Alters, mit Vorerkrankungen oder unzureichendem Immunschutz. Insbesondere der Eintrag von Infektionen in Alten- und Pflegeheime und in Krankenhäuser sollte daher soweit wie möglich vermieden werden</w:t>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Symptomen einer neu auftretenden Atemwegserkrankung wie z.B. Schnupfen, Halsschmerzen oder Husten wird – unabhängig vom Impfstatus und Erregernachweis – weiterhin empfohlen, Kontakte zu meiden und bei Bedarf die hausärztliche Praxis zu kontaktieren. Diese Empfehlung gilt für alle akuten Atemwegserkrankungen.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gegen COVID-19 bietet einen guten Schutz vor schwerer Erkrankung und Hospitalisierung durch COVID-19, dies gilt auch für die Omikron-Variante. Die Schließung von Impflücken und Auffrischimpfungen entsprechend den STIKO-Empfehlungen (</w:t>
      </w:r>
      <w:hyperlink r:id="rId5"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wichtig.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commentRangeStart w:id="0"/>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und zirkuliert weiterhin (auf geringem Niveau) in der Bevölkerung. Die Übertragung durch Tröpfchen und Aerosole spielt eine besondere Rolle – v.a. in Innenräumen.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bookmarkStart w:id="1" w:name="_GoBack"/>
      <w:bookmarkEnd w:id="1"/>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Das Risiko, an COVID-19 zu versterben, ist deutlich zurückgegangen. Dennoch kommt es weiterhin zu Todesfällen. Die Wahrscheinlichkeit für schwere und tödliche Krankheitsverläufe steigt mit zunehmendem Alter und bei bestehenden Vorerkrankungen. Es kann jedoch auch ohne bekannte Vorerkrankungen und anderen Risikofaktoren zu schweren oder lebensbedrohlichen Krankheitsverläufen kommen. Langzeitfolgen (Long-COVID-19)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durch COVID-19 ist aktuell gering. Saisonal trägt die epidemiologische Situation durch andere ARE-Erreger, u.a. RSV und Influenza zur Belastung des Gesundheitssystems bei.</w:t>
      </w:r>
      <w:commentRangeEnd w:id="0"/>
      <w:r>
        <w:rPr>
          <w:rStyle w:val="Kommentarzeichen"/>
        </w:rPr>
        <w:commentReference w:id="0"/>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aktuellen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ituationsberichte, ausführliche Wochenberichte und Pandemieradar" w:history="1">
        <w:r>
          <w:rPr>
            <w:rFonts w:ascii="Times New Roman" w:eastAsia="Times New Roman" w:hAnsi="Times New Roman" w:cs="Times New Roman"/>
            <w:color w:val="0000FF"/>
            <w:sz w:val="24"/>
            <w:szCs w:val="24"/>
            <w:u w:val="single"/>
            <w:lang w:eastAsia="de-DE"/>
          </w:rPr>
          <w:t xml:space="preserve"> Wochenberichte und Pandemieradar</w:t>
        </w:r>
      </w:hyperlink>
    </w:p>
    <w:p>
      <w:pPr>
        <w:spacing w:before="100" w:beforeAutospacing="1" w:after="100" w:afterAutospacing="1" w:line="240" w:lineRule="auto"/>
      </w:pPr>
      <w:r>
        <w:rPr>
          <w:rFonts w:ascii="Times New Roman" w:eastAsia="Times New Roman" w:hAnsi="Times New Roman" w:cs="Times New Roman"/>
          <w:sz w:val="24"/>
          <w:szCs w:val="24"/>
          <w:lang w:eastAsia="de-DE"/>
        </w:rPr>
        <w:t>Stand: 19.05.2023</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aela Diercke" w:date="2023-05-24T07:33:00Z" w:initials="MD">
    <w:p>
      <w:pPr>
        <w:pStyle w:val="Kommentartext"/>
      </w:pPr>
      <w:r>
        <w:rPr>
          <w:rStyle w:val="Kommentarzeichen"/>
        </w:rPr>
        <w:annotationRef/>
      </w:r>
      <w:r>
        <w:t xml:space="preserve">Ggf. auch weglassen und auf COVID-19-Seite verlinken: https://www.rki.de/DE/Content/InfAZ/N/Neuartiges_Coronavirus/nCoV.html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0701E"/>
    <w:multiLevelType w:val="multilevel"/>
    <w:tmpl w:val="EBF2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A20A2"/>
    <w:multiLevelType w:val="multilevel"/>
    <w:tmpl w:val="42F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Diercke">
    <w15:presenceInfo w15:providerId="None" w15:userId="Michaela Dierc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8940-F00C-4636-9BA0-9B02DB78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0648">
      <w:bodyDiv w:val="1"/>
      <w:marLeft w:val="0"/>
      <w:marRight w:val="0"/>
      <w:marTop w:val="0"/>
      <w:marBottom w:val="0"/>
      <w:divBdr>
        <w:top w:val="none" w:sz="0" w:space="0" w:color="auto"/>
        <w:left w:val="none" w:sz="0" w:space="0" w:color="auto"/>
        <w:bottom w:val="none" w:sz="0" w:space="0" w:color="auto"/>
        <w:right w:val="none" w:sz="0" w:space="0" w:color="auto"/>
      </w:divBdr>
      <w:divsChild>
        <w:div w:id="1109274990">
          <w:marLeft w:val="0"/>
          <w:marRight w:val="0"/>
          <w:marTop w:val="0"/>
          <w:marBottom w:val="0"/>
          <w:divBdr>
            <w:top w:val="none" w:sz="0" w:space="0" w:color="auto"/>
            <w:left w:val="none" w:sz="0" w:space="0" w:color="auto"/>
            <w:bottom w:val="none" w:sz="0" w:space="0" w:color="auto"/>
            <w:right w:val="none" w:sz="0" w:space="0" w:color="auto"/>
          </w:divBdr>
        </w:div>
        <w:div w:id="17706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rki.de/DE/Content/Infekt/Impfen/ImpfungenAZ/COVID-19/Impfempfehlung-Zusfassung.html?nn=134908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Situationsberichte/Gesam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Michaela Diercke</cp:lastModifiedBy>
  <cp:revision>4</cp:revision>
  <dcterms:created xsi:type="dcterms:W3CDTF">2023-05-19T11:05:00Z</dcterms:created>
  <dcterms:modified xsi:type="dcterms:W3CDTF">2023-05-24T05:35:00Z</dcterms:modified>
</cp:coreProperties>
</file>