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bCs/>
        </w:rPr>
        <w:t xml:space="preserve">Behörden und Stellen, die am Koordinierungsverfahren insbesondere </w:t>
      </w:r>
      <w:r>
        <w:rPr>
          <w:b/>
          <w:bCs/>
        </w:rPr>
        <w:br/>
        <w:t>beteiligt sein können</w:t>
      </w:r>
    </w:p>
    <w:p/>
    <w:p>
      <w:r>
        <w:t>(keine abschließende Aufzählung)</w:t>
      </w:r>
    </w:p>
    <w:p/>
    <w:p>
      <w:pPr>
        <w:rPr>
          <w:b/>
        </w:rPr>
      </w:pPr>
      <w:r>
        <w:rPr>
          <w:b/>
        </w:rPr>
        <w:t>1. Landesbehörden</w:t>
      </w:r>
    </w:p>
    <w:p>
      <w:pPr>
        <w:rPr>
          <w:highlight w:val="yellow"/>
        </w:rPr>
      </w:pPr>
      <w:r>
        <w:rPr>
          <w:highlight w:val="yellow"/>
        </w:rPr>
        <w:t xml:space="preserve">a) oberste Landesgesundheitsbehörden sowie </w:t>
      </w:r>
      <w:proofErr w:type="gramStart"/>
      <w:r>
        <w:rPr>
          <w:highlight w:val="yellow"/>
        </w:rPr>
        <w:t>von diesen benannte Behörden</w:t>
      </w:r>
      <w:proofErr w:type="gramEnd"/>
      <w:r>
        <w:rPr>
          <w:highlight w:val="yellow"/>
        </w:rPr>
        <w:t xml:space="preserve"> und Einrichtungen der Länder,</w:t>
      </w:r>
    </w:p>
    <w:p>
      <w:r>
        <w:rPr>
          <w:highlight w:val="yellow"/>
        </w:rPr>
        <w:t>b) zuständige Landesbehörden nach § 11 des Infektionsschutzgesetzes (IfSG),</w:t>
      </w:r>
    </w:p>
    <w:p>
      <w:r>
        <w:t xml:space="preserve">c) oberste Lebensmittelüberwachungsbehörden der Länder sowie die von diesen benannte Behörden und Einrichtungen der </w:t>
      </w:r>
      <w:proofErr w:type="spellStart"/>
      <w:r>
        <w:t>Länderim</w:t>
      </w:r>
      <w:proofErr w:type="spellEnd"/>
      <w:r>
        <w:t xml:space="preserve"> Bereich der mikrobiell bedingten Lebensmittelvergiftungen oder akuter Gastroenteritis mit der Maßgabe, dass stets auch die nach Nummer 3 zuständigen Geschäftsbereichsbehörden des Bundesministeriums für Ernährung, Landwirtschaft und Verbraucherschutz zu beteiligen sind,</w:t>
      </w:r>
    </w:p>
    <w:p/>
    <w:p>
      <w:r>
        <w:t xml:space="preserve">d) oberste Veterinärbehörden sowie </w:t>
      </w:r>
      <w:proofErr w:type="gramStart"/>
      <w:r>
        <w:t>von diesen benannte Behörden</w:t>
      </w:r>
      <w:proofErr w:type="gramEnd"/>
      <w:r>
        <w:t xml:space="preserve"> und Einrichtungen der Länder im Bereich der Zoonosen mit der Maßgabe, dass stets auch die nach Nummer 3 zuständigen Geschäftsbereichsbehörden des Bundesministeriums für Ernährung, Landwirtschaft und Verbraucherschutz zu beteiligen sind;</w:t>
      </w:r>
    </w:p>
    <w:p>
      <w:pPr>
        <w:rPr>
          <w:b/>
        </w:rPr>
      </w:pPr>
      <w:r>
        <w:rPr>
          <w:b/>
        </w:rPr>
        <w:t>2. Bundesoberbehörden im Geschäftsbereich des Bundesministeriums für Gesundheit</w:t>
      </w:r>
    </w:p>
    <w:p>
      <w:r>
        <w:rPr>
          <w:highlight w:val="yellow"/>
        </w:rPr>
        <w:t>a) Paul-Ehrlich-Institut</w:t>
      </w:r>
      <w:r>
        <w:t xml:space="preserve"> insbesondere im Bereich der Impfstoffe und der Impfprävention (§ 77 Absatz 2 des Arzneimittelgesetzes - AMG),</w:t>
      </w:r>
    </w:p>
    <w:p>
      <w:r>
        <w:t>b) Bundesinstitut für Arzneimittel und Medizinprodukte insbesondere im Bereich der Informationen zu Arzneimitteln und Medizinprodukten, einschließlich Fragen der Arzneimittelsicherheit, sowie zu Betäubungsmitteln und Grundstoffen (§ 77 Absatz 1 AMG),</w:t>
      </w:r>
    </w:p>
    <w:p>
      <w:r>
        <w:rPr>
          <w:highlight w:val="yellow"/>
        </w:rPr>
        <w:t>c) Bundeszentrale für gesundheitliche Aufklärung</w:t>
      </w:r>
      <w:r>
        <w:t xml:space="preserve"> insbesondere im Bereich der Öffentlichkeitsarbeit, etwa in Bezug auf die Impfprävention (§ 20 Absatz 1 IfSG);</w:t>
      </w:r>
    </w:p>
    <w:p>
      <w:pPr>
        <w:rPr>
          <w:b/>
        </w:rPr>
      </w:pPr>
      <w:r>
        <w:rPr>
          <w:b/>
        </w:rPr>
        <w:t>3. weitere Bundesoberbehörden</w:t>
      </w:r>
    </w:p>
    <w:p>
      <w:r>
        <w:t>a) Bundesamt für Verbraucherschutz und Lebensmittelsicherheit (BVL</w:t>
      </w:r>
      <w:proofErr w:type="gramStart"/>
      <w:r>
        <w:t>)</w:t>
      </w:r>
      <w:proofErr w:type="gramEnd"/>
      <w:r>
        <w:t xml:space="preserve"> wenn eine lebensmittelassoziierte Krankheitsübertragung vermutet wird oder erwiesen ist (zwingende Beteiligung) sowie bei Fragen der Entwesung (Bekämpfung von Nichtwirbeltieren) und der Bekämpfung von Wirbeltieren, durch die Krankheitserreger verbreitet werden können,</w:t>
      </w:r>
    </w:p>
    <w:p>
      <w:r>
        <w:t>b) Bundesinstitut für Risikobewertung (BfR), auf dem Gebiet der Risikobewertung im Hinblick auf Zoonosen in der Lebensmittelkette und mikrobiell bedingte Lebensmittelvergiftungen,</w:t>
      </w:r>
    </w:p>
    <w:p/>
    <w:p>
      <w:r>
        <w:lastRenderedPageBreak/>
        <w:t>das BfR gilt im Rahmen dieser Verwaltungsvorschrift als Bundesoberbehörde,</w:t>
      </w:r>
    </w:p>
    <w:p>
      <w:r>
        <w:t>c) Friedrich-</w:t>
      </w:r>
      <w:proofErr w:type="spellStart"/>
      <w:r>
        <w:t>Loeffler</w:t>
      </w:r>
      <w:proofErr w:type="spellEnd"/>
      <w:r>
        <w:t>-Institut (FLI) im Bereich der Zoonosen ohne eine Beteiligung von Lebensmitteln,</w:t>
      </w:r>
    </w:p>
    <w:p>
      <w:r>
        <w:t>d) Umweltbundesamt (UBA) insbesondere im Bereich der Trinkwasserhygiene, Badebeckenwasserhygiene, der Umwelthygiene, der Entwesung sowie der Übertragung von Krankheitserregern durch Tiere, die nicht Haus- oder Nutztiere sind, falls erforderlich unter Beteiligung der Trinkwasserkommission oder der Schwimm- und Badebeckenwasserkommission beim Umweltbundesamt durch das Bundesministerium für Gesundheit,</w:t>
      </w:r>
    </w:p>
    <w:p>
      <w:commentRangeStart w:id="0"/>
      <w:r>
        <w:t>e)  Bundesanstalt für Arbeitsschutz und Arbeitsmedizin (</w:t>
      </w:r>
      <w:proofErr w:type="spellStart"/>
      <w:r>
        <w:t>BAuA</w:t>
      </w:r>
      <w:commentRangeEnd w:id="0"/>
      <w:proofErr w:type="spellEnd"/>
      <w:r>
        <w:rPr>
          <w:rStyle w:val="Kommentarzeichen"/>
        </w:rPr>
        <w:commentReference w:id="0"/>
      </w:r>
      <w:r>
        <w:t>) insbesondere im Bereich der Sicherheit der Beschäftigten bei Tätigkeiten mit biologischen Arbeitsstoffen im Zusammenhang mit bedrohlichen Krankheiten, im Bereich arbeitsbedingter Infektionskrankheiten und der Biozid-Wirkstoffe sowie der Zulassung von Biozid-Produkten,</w:t>
      </w:r>
    </w:p>
    <w:p>
      <w:commentRangeStart w:id="1"/>
      <w:r>
        <w:t xml:space="preserve">f)  Bundesamt für Bevölkerungsschutz und Katastrophenhilfe (BBK) </w:t>
      </w:r>
      <w:commentRangeEnd w:id="1"/>
      <w:r>
        <w:rPr>
          <w:rStyle w:val="Kommentarzeichen"/>
        </w:rPr>
        <w:commentReference w:id="1"/>
      </w:r>
      <w:r>
        <w:t>mit dem Gemeinsamen Melde- und Lagezentrum von Bund und Ländern (GMLZ) insbesondere im Bereich der Amtshilfe des Bundes für die Länder sowie hinsichtlich der Funktion als nationale IGV-Anlaufstelle,</w:t>
      </w:r>
    </w:p>
    <w:p>
      <w:r>
        <w:t xml:space="preserve">g) </w:t>
      </w:r>
      <w:proofErr w:type="spellStart"/>
      <w:r>
        <w:t>Havariekommando</w:t>
      </w:r>
      <w:proofErr w:type="spellEnd"/>
      <w:r>
        <w:t xml:space="preserve"> bei Infektionsgefahren an Bord von Schiffen auf See, das </w:t>
      </w:r>
      <w:proofErr w:type="spellStart"/>
      <w:r>
        <w:t>Havariekommando</w:t>
      </w:r>
      <w:proofErr w:type="spellEnd"/>
      <w:r>
        <w:t xml:space="preserve"> gilt im Rahmen dieser Verwaltungsvorschrift als Bundesoberbehörde,</w:t>
      </w:r>
    </w:p>
    <w:p>
      <w:commentRangeStart w:id="2"/>
      <w:r>
        <w:t xml:space="preserve">h)  Kommando Sanitätsdienst der Bundeswehr insbesondere </w:t>
      </w:r>
      <w:commentRangeEnd w:id="2"/>
      <w:r>
        <w:rPr>
          <w:rStyle w:val="Kommentarzeichen"/>
        </w:rPr>
        <w:commentReference w:id="2"/>
      </w:r>
      <w:r>
        <w:t>im Bereich der Vollzugsaufgaben der Bundeswehr nach § 70 IfSG,</w:t>
      </w:r>
    </w:p>
    <w:p>
      <w:r>
        <w:t>i)  Eisenbahn-Bundesamt insbesondere im Bereich der Vollzugsaufgaben des Eisenbahn-Bundesamtes nach § 72 IfSG,</w:t>
      </w:r>
    </w:p>
    <w:p>
      <w:r>
        <w:t>j)  Bundesamt für Güterverkehr in Angelegenheiten des Verkehrsleistungsgesetzes als koordinierende Behörde nach § 7 Absatz 1a des Verkehrsleistungsgesetzes,</w:t>
      </w:r>
    </w:p>
    <w:p>
      <w:r>
        <w:t>k)  Luftfahrtbundesamt, insbesondere wenn Fragen der Einfluggenehmigung betroffen sind,</w:t>
      </w:r>
    </w:p>
    <w:p>
      <w:r>
        <w:t>l)  Bundeskriminalamt (BKA), insbesondere bei Verdacht auf eine absichtliche Ausbringung von Krankheitserregern,</w:t>
      </w:r>
    </w:p>
    <w:p/>
    <w:p>
      <w:r>
        <w:t>mit der Maßgabe, dass die Beteiligung grundsätzlich über das Bundesministerium für Gesundheit und das Bundesministerium des Innern erfolgt,</w:t>
      </w:r>
    </w:p>
    <w:p>
      <w:r>
        <w:t>m)  Bundesnachrichtendienst (BND) insbesondere bei dem Verdacht auf eine absichtliche Ausbringung von Krankheitserregern mit Auslandsbezug,</w:t>
      </w:r>
    </w:p>
    <w:p>
      <w:r>
        <w:t>mit der Maßgabe, dass die Beteiligung grundsätzlich über das Bundesministerium für Gesundheit und das Bundeskanzleramt erfolgt,</w:t>
      </w:r>
    </w:p>
    <w:p>
      <w:r>
        <w:t>n) das Bundespolizeipräsidium insbesondere im Bereich der polizeilichen Grenzkontrollen;</w:t>
      </w:r>
    </w:p>
    <w:p/>
    <w:p>
      <w:pPr>
        <w:rPr>
          <w:b/>
        </w:rPr>
      </w:pPr>
      <w:r>
        <w:rPr>
          <w:b/>
        </w:rPr>
        <w:t>4. oberste Bundesbehörden</w:t>
      </w:r>
    </w:p>
    <w:p>
      <w:r>
        <w:rPr>
          <w:highlight w:val="yellow"/>
        </w:rPr>
        <w:lastRenderedPageBreak/>
        <w:t>a) Bundesministerium für Gesundheit</w:t>
      </w:r>
    </w:p>
    <w:p>
      <w:r>
        <w:t xml:space="preserve">b) Auswärtiges Amt insbesondere im Bereich des Gesundheitsschutzes für diplomatisches Personal und Bundesbürgerinnen und Bundesbürger im Ausland (Reise- und Sicherheitshinweise des Auswärtigen Amts) und im Bereich des Übereinkommens über das Verbot der Entwicklung, Herstellung und Lagerung von bakteriologischen (biologischen) Waffen und von </w:t>
      </w:r>
      <w:proofErr w:type="spellStart"/>
      <w:r>
        <w:t>Toxinwaffen</w:t>
      </w:r>
      <w:proofErr w:type="spellEnd"/>
      <w:r>
        <w:t xml:space="preserve"> sowie über die Vernichtung solcher Waffen (BWÜ),</w:t>
      </w:r>
    </w:p>
    <w:p/>
    <w:p>
      <w:commentRangeStart w:id="3"/>
      <w:r>
        <w:t>c) Bundesministerium des Innern</w:t>
      </w:r>
      <w:commentRangeEnd w:id="3"/>
      <w:r>
        <w:rPr>
          <w:rStyle w:val="Kommentarzeichen"/>
        </w:rPr>
        <w:commentReference w:id="3"/>
      </w:r>
      <w:r>
        <w:t xml:space="preserve"> insbesondere bei Verdacht auf eine absichtliche Ausbringung von Krankheitserregern und im Bereich der polizeilichen Grenzkontrollen,</w:t>
      </w:r>
    </w:p>
    <w:p>
      <w:r>
        <w:t>d) Bundesministerium der Finanzen hinsichtlich Fragen der privaten Krankenversicherung mit der Maßgabe das die Beteiligung durch das Bundesministerium für Gesundheit erfolgt, und im Bereich des Zolls,</w:t>
      </w:r>
    </w:p>
    <w:p>
      <w:r>
        <w:t>e) Bundesministerium für Arbeit und Soziales, insbesondere im Bereich der Sicherheit der Beschäftigten bei Tätigkeiten mit biologischen Arbeitsstoffen im Zusammenhang mit bedrohlichen Krankheiten,</w:t>
      </w:r>
    </w:p>
    <w:p>
      <w:r>
        <w:t>f) Bundesministerium für Ernährung, Landwirtschaft und Verbraucherschutz, insbesondere bei Krankheitsausbrüchen mit Bezug auf Lebensmittel oder Zoonosen, zwingende Beteiligung in Fällen von Zoonosen ohne eine Beteiligung von Lebensmitteln,</w:t>
      </w:r>
    </w:p>
    <w:p>
      <w:r>
        <w:t>g) Bundesministerium der Verteidigung insbesondere im Bereich der Vollzugsaufgaben der Bundeswehr nach § 70 IfSG und des Vollzuges des IfSG bei ausländischen Stationierungsstreitkräften in Deutschland auf der Grundlage des Streitkräfteaufenthaltsgesetzes, soweit sich aus zwischenstaatlichen Vereinbarungen keine andere Zuständigkeit ergibt,</w:t>
      </w:r>
    </w:p>
    <w:p>
      <w:r>
        <w:t xml:space="preserve">h) Bundesministerium für Verkehr, Bau und </w:t>
      </w:r>
      <w:proofErr w:type="gramStart"/>
      <w:r>
        <w:t>Stadtentwicklung</w:t>
      </w:r>
      <w:proofErr w:type="gramEnd"/>
      <w:r>
        <w:t xml:space="preserve"> wenn Maßnahmen im nationalen oder grenzüberschreitenden Verkehr erforderlich sind,</w:t>
      </w:r>
    </w:p>
    <w:p>
      <w:r>
        <w:t>i) Bundesministerium für Umwelt, Naturschutz und Reaktorsicherheit insbesondere im Bereich der Übertragung von Krankheitserregern auf Menschen durch Tiere, die nicht Haus- oder Nutztiere sind;</w:t>
      </w:r>
    </w:p>
    <w:p>
      <w:pPr>
        <w:rPr>
          <w:b/>
        </w:rPr>
      </w:pPr>
      <w:r>
        <w:t xml:space="preserve">5. </w:t>
      </w:r>
      <w:r>
        <w:rPr>
          <w:b/>
        </w:rPr>
        <w:t>Referenzzentren, weitere wissenschaftliche Einrichtungen und Fachgesellschaften</w:t>
      </w:r>
    </w:p>
    <w:p>
      <w:r>
        <w:t>a) nationale Referenzzentren,</w:t>
      </w:r>
    </w:p>
    <w:p>
      <w:r>
        <w:t xml:space="preserve">b) </w:t>
      </w:r>
      <w:proofErr w:type="spellStart"/>
      <w:r>
        <w:t>Konsiliarlaboratorien</w:t>
      </w:r>
      <w:proofErr w:type="spellEnd"/>
      <w:r>
        <w:t>,</w:t>
      </w:r>
    </w:p>
    <w:p>
      <w:r>
        <w:t>c) Behandlungs- und Kompetenzzentren,</w:t>
      </w:r>
    </w:p>
    <w:p>
      <w:r>
        <w:t>d) internationale Expertenlaboratorien (Referenzlaboratorien der Weltgesundheitsorganisation, europäisches Labornetzwerk) und Expertenlaboratorien anderer Staaten,</w:t>
      </w:r>
    </w:p>
    <w:p>
      <w:r>
        <w:t>e) Bundesärztekammer (BÄK) und Landesärztekammern, insbesondere im Bereich der ärztlichen Versorgung,</w:t>
      </w:r>
    </w:p>
    <w:p>
      <w:r>
        <w:t>f) Kassenärztliche Bundesvereinigung (KBV), insbesondere im Bereich der ärztlichen Versorgung durch Kassenärztinnen und Kassenärzte,</w:t>
      </w:r>
    </w:p>
    <w:p>
      <w:r>
        <w:lastRenderedPageBreak/>
        <w:t>g) Deutsche Krankenhausgesellschaft, insbesondere hinsichtlich Fragen der ärztlichen Versorgung durch Krankenhäuser,</w:t>
      </w:r>
    </w:p>
    <w:p>
      <w:r>
        <w:t>h) Bundesvereinigung Deutscher Apothekerverbände (ABDA) insbesondere im Bereich der Versorgung mit Arzneimitteln und Medizinprodukten über die Apotheken,</w:t>
      </w:r>
    </w:p>
    <w:p>
      <w:r>
        <w:t>i) Deutsche Gesetzliche Unfallversicherung im Bereich der arbeitsbedingten Infektionsgefahren,</w:t>
      </w:r>
    </w:p>
    <w:p>
      <w:r>
        <w:t>j) Spitzenverband Bund der Krankenkassen im Bereich der gesetzlichen Krankenversicherung,</w:t>
      </w:r>
    </w:p>
    <w:p>
      <w:r>
        <w:t>k) nationale Referenzlaboratorien gemäß Verordnung (EG) Nr. 882/2004 in der jeweils geltenden Fassung mit Aufgaben, die im Zusammenhang mit Fragen der Lebensmittelsicherheit oder der Zoonosen stehen;</w:t>
      </w:r>
      <w:bookmarkStart w:id="4" w:name="_GoBack"/>
      <w:bookmarkEnd w:id="4"/>
    </w:p>
    <w:p>
      <w:pPr>
        <w:rPr>
          <w:b/>
        </w:rPr>
      </w:pPr>
      <w:r>
        <w:rPr>
          <w:b/>
        </w:rPr>
        <w:t>6. ausländische und internationale Organisationen und Behörden</w:t>
      </w:r>
    </w:p>
    <w:p>
      <w:r>
        <w:t>a) Europäisches Zentrum für die Prävention und die Kontrolle von Krankheiten,</w:t>
      </w:r>
    </w:p>
    <w:p>
      <w:r>
        <w:t>b) zuständige Dienststellen der Europäischen Kommission,</w:t>
      </w:r>
    </w:p>
    <w:p>
      <w:r>
        <w:t>c) von den EU-Mitgliedstaaten benannte Behörden nach Artikel 9 der Entscheidung Nr. 2119/98/EG des Europäischen Parlaments und des Rates vom 24. September 1998 über die Schaffung eines Netzes für die epidemiologische Überwachung und die Kontrolle übertragbarer Krankheiten in der Gemeinschaft,</w:t>
      </w:r>
    </w:p>
    <w:p>
      <w:r>
        <w:t>d) Dienststellen der Weltgesundheitsorganisation sowie zuständige Fachbehörden anderer Staaten.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xroth, Ute" w:date="2023-06-06T15:07:00Z" w:initials="RU">
    <w:p>
      <w:pPr>
        <w:pStyle w:val="Kommentartext"/>
      </w:pPr>
      <w:r>
        <w:rPr>
          <w:rStyle w:val="Kommentarzeichen"/>
        </w:rPr>
        <w:annotationRef/>
      </w:r>
      <w:proofErr w:type="spellStart"/>
      <w:r>
        <w:t>Ggf</w:t>
      </w:r>
      <w:proofErr w:type="spellEnd"/>
      <w:r>
        <w:t xml:space="preserve"> benachrichtigen? </w:t>
      </w:r>
    </w:p>
  </w:comment>
  <w:comment w:id="1" w:author="Rexroth, Ute" w:date="2023-06-06T15:07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Ggf. benachrichtigen? </w:t>
      </w:r>
    </w:p>
  </w:comment>
  <w:comment w:id="2" w:author="Rexroth, Ute" w:date="2023-06-06T15:08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Ggf. benachrichtigen? </w:t>
      </w:r>
    </w:p>
  </w:comment>
  <w:comment w:id="3" w:author="Rexroth, Ute" w:date="2023-06-06T15:09:00Z" w:initials="RU">
    <w:p>
      <w:pPr>
        <w:pStyle w:val="Kommentartext"/>
      </w:pPr>
      <w:r>
        <w:rPr>
          <w:rStyle w:val="Kommentarzeichen"/>
        </w:rPr>
        <w:annotationRef/>
      </w:r>
      <w:r>
        <w:t xml:space="preserve">Ggf. benachrichtigen?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xroth, Ute">
    <w15:presenceInfo w15:providerId="None" w15:userId="Rexroth, U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1DB0-F15D-45CB-8118-42A3E0AD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Rexroth, Ute</dc:creator>
  <cp:keywords/>
  <dc:description/>
  <cp:lastModifiedBy>Rexroth, Ute</cp:lastModifiedBy>
  <cp:revision>1</cp:revision>
  <dcterms:created xsi:type="dcterms:W3CDTF">2023-06-06T13:01:00Z</dcterms:created>
  <dcterms:modified xsi:type="dcterms:W3CDTF">2023-06-06T13:11:00Z</dcterms:modified>
</cp:coreProperties>
</file>